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A7" w:rsidRDefault="00394CA7" w:rsidP="00A1103B">
      <w:pPr>
        <w:jc w:val="center"/>
        <w:rPr>
          <w:b/>
        </w:rPr>
      </w:pPr>
      <w:r>
        <w:rPr>
          <w:b/>
        </w:rPr>
        <w:t>Before the</w:t>
      </w:r>
    </w:p>
    <w:p w:rsidR="00394CA7" w:rsidRDefault="00394CA7" w:rsidP="00A1103B">
      <w:pPr>
        <w:jc w:val="center"/>
        <w:rPr>
          <w:b/>
        </w:rPr>
      </w:pPr>
      <w:r>
        <w:rPr>
          <w:b/>
        </w:rPr>
        <w:t>Federal Communications Commission</w:t>
      </w:r>
    </w:p>
    <w:p w:rsidR="00394CA7" w:rsidRDefault="00E05285" w:rsidP="00A1103B">
      <w:pPr>
        <w:jc w:val="center"/>
        <w:rPr>
          <w:b/>
        </w:rPr>
      </w:pPr>
      <w:r>
        <w:rPr>
          <w:b/>
        </w:rPr>
        <w:t>Washington, DC</w:t>
      </w:r>
      <w:r w:rsidR="00394CA7">
        <w:rPr>
          <w:b/>
        </w:rPr>
        <w:t xml:space="preserve"> 20554</w:t>
      </w:r>
    </w:p>
    <w:p w:rsidR="00394CA7" w:rsidRDefault="00394CA7" w:rsidP="00A1103B"/>
    <w:p w:rsidR="00394CA7" w:rsidRDefault="00394CA7" w:rsidP="00A1103B"/>
    <w:tbl>
      <w:tblPr>
        <w:tblW w:w="9707" w:type="dxa"/>
        <w:tblLayout w:type="fixed"/>
        <w:tblLook w:val="0000"/>
      </w:tblPr>
      <w:tblGrid>
        <w:gridCol w:w="4727"/>
        <w:gridCol w:w="724"/>
        <w:gridCol w:w="4256"/>
      </w:tblGrid>
      <w:tr w:rsidR="00394CA7" w:rsidTr="004D4943">
        <w:trPr>
          <w:trHeight w:val="2896"/>
        </w:trPr>
        <w:tc>
          <w:tcPr>
            <w:tcW w:w="4727" w:type="dxa"/>
          </w:tcPr>
          <w:p w:rsidR="00394CA7" w:rsidRDefault="00394CA7" w:rsidP="00A1103B">
            <w:pPr>
              <w:ind w:right="-18"/>
            </w:pPr>
            <w:r>
              <w:t xml:space="preserve">In the </w:t>
            </w:r>
            <w:r w:rsidR="004849EA">
              <w:t>M</w:t>
            </w:r>
            <w:r>
              <w:t>atter of</w:t>
            </w:r>
          </w:p>
          <w:p w:rsidR="00394CA7" w:rsidRDefault="00394CA7" w:rsidP="00A1103B">
            <w:pPr>
              <w:ind w:right="-18"/>
            </w:pPr>
          </w:p>
          <w:p w:rsidR="00424FD7" w:rsidRDefault="00424FD7" w:rsidP="00424FD7">
            <w:pPr>
              <w:ind w:right="-18"/>
              <w:rPr>
                <w:szCs w:val="22"/>
              </w:rPr>
            </w:pPr>
            <w:r w:rsidRPr="00A96021">
              <w:rPr>
                <w:szCs w:val="22"/>
              </w:rPr>
              <w:t>Assessment and Collection of Regulatory Fees    for Fiscal Year 201</w:t>
            </w:r>
            <w:r w:rsidR="00D43BE8">
              <w:rPr>
                <w:szCs w:val="22"/>
              </w:rPr>
              <w:t>4</w:t>
            </w:r>
          </w:p>
          <w:p w:rsidR="00424FD7" w:rsidRPr="00A96021" w:rsidRDefault="00424FD7" w:rsidP="00424FD7">
            <w:pPr>
              <w:ind w:right="-18"/>
              <w:rPr>
                <w:szCs w:val="22"/>
              </w:rPr>
            </w:pPr>
          </w:p>
          <w:p w:rsidR="004777BD" w:rsidRPr="00A96021" w:rsidRDefault="004777BD" w:rsidP="00A1103B">
            <w:pPr>
              <w:tabs>
                <w:tab w:val="center" w:pos="4680"/>
              </w:tabs>
              <w:suppressAutoHyphens/>
              <w:rPr>
                <w:spacing w:val="-2"/>
                <w:szCs w:val="22"/>
              </w:rPr>
            </w:pPr>
            <w:r w:rsidRPr="00A96021">
              <w:rPr>
                <w:spacing w:val="-2"/>
                <w:szCs w:val="22"/>
              </w:rPr>
              <w:t>Assessment and Collection of Regulatory Fees</w:t>
            </w:r>
            <w:r w:rsidR="00D43BE8">
              <w:rPr>
                <w:spacing w:val="-2"/>
                <w:szCs w:val="22"/>
              </w:rPr>
              <w:t xml:space="preserve"> for Fiscal Year 2013</w:t>
            </w:r>
          </w:p>
          <w:p w:rsidR="004777BD" w:rsidRPr="00A96021" w:rsidRDefault="004777BD" w:rsidP="00A1103B">
            <w:pPr>
              <w:tabs>
                <w:tab w:val="center" w:pos="4680"/>
              </w:tabs>
              <w:suppressAutoHyphens/>
              <w:rPr>
                <w:spacing w:val="-2"/>
                <w:szCs w:val="22"/>
              </w:rPr>
            </w:pPr>
          </w:p>
          <w:p w:rsidR="004777BD" w:rsidRPr="00A96021" w:rsidRDefault="00D43BE8" w:rsidP="00D43BE8">
            <w:pPr>
              <w:ind w:right="-18"/>
              <w:rPr>
                <w:spacing w:val="-2"/>
                <w:szCs w:val="22"/>
              </w:rPr>
            </w:pPr>
            <w:r>
              <w:rPr>
                <w:spacing w:val="-2"/>
                <w:szCs w:val="22"/>
              </w:rPr>
              <w:t xml:space="preserve">Procedures for </w:t>
            </w:r>
            <w:r w:rsidR="004777BD" w:rsidRPr="00A96021">
              <w:rPr>
                <w:spacing w:val="-2"/>
                <w:szCs w:val="22"/>
              </w:rPr>
              <w:t>Assessment and C</w:t>
            </w:r>
            <w:r>
              <w:rPr>
                <w:spacing w:val="-2"/>
                <w:szCs w:val="22"/>
              </w:rPr>
              <w:t xml:space="preserve">ollection of Regulatory Fees </w:t>
            </w:r>
          </w:p>
          <w:p w:rsidR="00394CA7" w:rsidRDefault="00394CA7" w:rsidP="00A1103B">
            <w:pPr>
              <w:ind w:right="-18"/>
            </w:pPr>
          </w:p>
        </w:tc>
        <w:tc>
          <w:tcPr>
            <w:tcW w:w="724" w:type="dxa"/>
          </w:tcPr>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394CA7" w:rsidP="00A1103B">
            <w:pPr>
              <w:rPr>
                <w:b/>
              </w:rPr>
            </w:pPr>
            <w:r>
              <w:rPr>
                <w:b/>
              </w:rPr>
              <w:t>)</w:t>
            </w:r>
          </w:p>
          <w:p w:rsidR="00394CA7" w:rsidRDefault="004777BD" w:rsidP="00A1103B">
            <w:pPr>
              <w:rPr>
                <w:b/>
              </w:rPr>
            </w:pPr>
            <w:r>
              <w:rPr>
                <w:b/>
              </w:rPr>
              <w:t>)</w:t>
            </w:r>
          </w:p>
        </w:tc>
        <w:tc>
          <w:tcPr>
            <w:tcW w:w="4256" w:type="dxa"/>
          </w:tcPr>
          <w:p w:rsidR="00394CA7" w:rsidRDefault="00394CA7" w:rsidP="00A1103B"/>
          <w:p w:rsidR="00394CA7" w:rsidRDefault="00394CA7" w:rsidP="00A1103B"/>
          <w:p w:rsidR="004777BD" w:rsidRPr="00A96021" w:rsidRDefault="004777BD" w:rsidP="00A1103B">
            <w:pPr>
              <w:tabs>
                <w:tab w:val="center" w:pos="4680"/>
              </w:tabs>
              <w:suppressAutoHyphens/>
              <w:rPr>
                <w:spacing w:val="-2"/>
                <w:szCs w:val="22"/>
              </w:rPr>
            </w:pPr>
            <w:r w:rsidRPr="00A96021">
              <w:rPr>
                <w:spacing w:val="-2"/>
                <w:szCs w:val="22"/>
              </w:rPr>
              <w:t>MD Docket No. 1</w:t>
            </w:r>
            <w:r w:rsidR="00D43BE8">
              <w:rPr>
                <w:spacing w:val="-2"/>
                <w:szCs w:val="22"/>
              </w:rPr>
              <w:t>4</w:t>
            </w:r>
            <w:r w:rsidRPr="00A96021">
              <w:rPr>
                <w:spacing w:val="-2"/>
                <w:szCs w:val="22"/>
              </w:rPr>
              <w:t>-</w:t>
            </w:r>
            <w:r w:rsidR="00D43BE8">
              <w:rPr>
                <w:spacing w:val="-2"/>
                <w:szCs w:val="22"/>
              </w:rPr>
              <w:t>92</w:t>
            </w:r>
          </w:p>
          <w:p w:rsidR="00394CA7" w:rsidRDefault="00394CA7" w:rsidP="00A1103B"/>
          <w:p w:rsidR="004777BD" w:rsidRDefault="004777BD" w:rsidP="00A1103B"/>
          <w:p w:rsidR="004777BD" w:rsidRPr="00A96021" w:rsidRDefault="00AF566B" w:rsidP="00A1103B">
            <w:pPr>
              <w:tabs>
                <w:tab w:val="center" w:pos="4680"/>
              </w:tabs>
              <w:suppressAutoHyphens/>
              <w:rPr>
                <w:spacing w:val="-2"/>
                <w:szCs w:val="22"/>
              </w:rPr>
            </w:pPr>
            <w:r>
              <w:rPr>
                <w:spacing w:val="-2"/>
                <w:szCs w:val="22"/>
              </w:rPr>
              <w:t>MD Docket No. 1</w:t>
            </w:r>
            <w:r w:rsidR="00D43BE8">
              <w:rPr>
                <w:spacing w:val="-2"/>
                <w:szCs w:val="22"/>
              </w:rPr>
              <w:t>3-140</w:t>
            </w:r>
          </w:p>
          <w:p w:rsidR="004777BD" w:rsidRDefault="004777BD" w:rsidP="00A1103B"/>
          <w:p w:rsidR="004777BD" w:rsidRDefault="004777BD" w:rsidP="00A1103B"/>
          <w:p w:rsidR="004777BD" w:rsidRDefault="004777BD" w:rsidP="00A1103B">
            <w:r w:rsidRPr="00A96021">
              <w:rPr>
                <w:spacing w:val="-2"/>
                <w:szCs w:val="22"/>
              </w:rPr>
              <w:t xml:space="preserve">MD Docket No. </w:t>
            </w:r>
            <w:r w:rsidR="00D43BE8">
              <w:rPr>
                <w:spacing w:val="-2"/>
                <w:szCs w:val="22"/>
              </w:rPr>
              <w:t>12-201</w:t>
            </w:r>
          </w:p>
        </w:tc>
      </w:tr>
    </w:tbl>
    <w:p w:rsidR="00A93CCB" w:rsidRDefault="00333068" w:rsidP="00333068">
      <w:pPr>
        <w:jc w:val="center"/>
        <w:rPr>
          <w:b/>
        </w:rPr>
      </w:pPr>
      <w:r w:rsidRPr="00333068">
        <w:rPr>
          <w:b/>
        </w:rPr>
        <w:t>REPORT AND ORDER</w:t>
      </w:r>
      <w:r w:rsidR="00A93CCB">
        <w:rPr>
          <w:b/>
        </w:rPr>
        <w:t xml:space="preserve"> </w:t>
      </w:r>
    </w:p>
    <w:p w:rsidR="00394CA7" w:rsidRPr="00333068" w:rsidRDefault="00A93CCB" w:rsidP="00333068">
      <w:pPr>
        <w:jc w:val="center"/>
        <w:rPr>
          <w:b/>
        </w:rPr>
      </w:pPr>
      <w:r>
        <w:rPr>
          <w:b/>
        </w:rPr>
        <w:t>AND FURTHER NOTICE OF PROPOSED RULEMAKING</w:t>
      </w:r>
    </w:p>
    <w:p w:rsidR="00394CA7" w:rsidRDefault="00394CA7" w:rsidP="00A1103B"/>
    <w:p w:rsidR="00394CA7" w:rsidRDefault="00394CA7" w:rsidP="004E171D">
      <w:pPr>
        <w:tabs>
          <w:tab w:val="left" w:pos="4140"/>
          <w:tab w:val="left" w:pos="5760"/>
        </w:tabs>
        <w:rPr>
          <w:b/>
          <w:szCs w:val="22"/>
        </w:rPr>
      </w:pPr>
      <w:r w:rsidRPr="007F7B4B">
        <w:rPr>
          <w:b/>
          <w:szCs w:val="22"/>
        </w:rPr>
        <w:t xml:space="preserve">Adopted:  </w:t>
      </w:r>
      <w:r w:rsidR="00796453">
        <w:rPr>
          <w:b/>
          <w:szCs w:val="22"/>
        </w:rPr>
        <w:t>August 29, 2014</w:t>
      </w:r>
      <w:r w:rsidRPr="007F7B4B">
        <w:rPr>
          <w:b/>
          <w:szCs w:val="22"/>
        </w:rPr>
        <w:tab/>
      </w:r>
      <w:r w:rsidR="004E171D">
        <w:rPr>
          <w:b/>
          <w:szCs w:val="22"/>
        </w:rPr>
        <w:tab/>
      </w:r>
      <w:r w:rsidR="004E171D">
        <w:rPr>
          <w:b/>
          <w:szCs w:val="22"/>
        </w:rPr>
        <w:tab/>
      </w:r>
      <w:r w:rsidRPr="007F7B4B">
        <w:rPr>
          <w:b/>
          <w:szCs w:val="22"/>
        </w:rPr>
        <w:t xml:space="preserve">Released:  </w:t>
      </w:r>
      <w:r w:rsidR="00796453">
        <w:rPr>
          <w:b/>
          <w:szCs w:val="22"/>
        </w:rPr>
        <w:t>August 29, 2014</w:t>
      </w:r>
    </w:p>
    <w:p w:rsidR="00A44B45" w:rsidRDefault="00A44B45" w:rsidP="004E171D">
      <w:pPr>
        <w:tabs>
          <w:tab w:val="left" w:pos="4140"/>
          <w:tab w:val="left" w:pos="5760"/>
        </w:tabs>
        <w:rPr>
          <w:b/>
          <w:szCs w:val="22"/>
        </w:rPr>
      </w:pPr>
    </w:p>
    <w:p w:rsidR="00A44B45" w:rsidRDefault="00A44B45" w:rsidP="00A44B45">
      <w:pPr>
        <w:tabs>
          <w:tab w:val="left" w:leader="dot" w:pos="5760"/>
        </w:tabs>
        <w:rPr>
          <w:spacing w:val="-2"/>
          <w:szCs w:val="22"/>
        </w:rPr>
      </w:pPr>
      <w:r>
        <w:rPr>
          <w:szCs w:val="22"/>
        </w:rPr>
        <w:t>B</w:t>
      </w:r>
      <w:r w:rsidRPr="007F7B4B">
        <w:rPr>
          <w:szCs w:val="22"/>
        </w:rPr>
        <w:t xml:space="preserve">y the </w:t>
      </w:r>
      <w:r w:rsidRPr="007F7B4B">
        <w:rPr>
          <w:spacing w:val="-2"/>
          <w:szCs w:val="22"/>
        </w:rPr>
        <w:t>Commission:</w:t>
      </w:r>
    </w:p>
    <w:p w:rsidR="00A44B45" w:rsidRDefault="00A44B45" w:rsidP="00A44B45">
      <w:pPr>
        <w:tabs>
          <w:tab w:val="left" w:leader="dot" w:pos="5760"/>
        </w:tabs>
        <w:rPr>
          <w:spacing w:val="-2"/>
          <w:szCs w:val="22"/>
        </w:rPr>
      </w:pPr>
    </w:p>
    <w:p w:rsidR="00A44B45" w:rsidRPr="00A438CD" w:rsidRDefault="00A44B45" w:rsidP="00A44B45">
      <w:pPr>
        <w:tabs>
          <w:tab w:val="left" w:pos="5760"/>
        </w:tabs>
        <w:rPr>
          <w:spacing w:val="-2"/>
          <w:szCs w:val="22"/>
        </w:rPr>
      </w:pPr>
      <w:r w:rsidRPr="00726E19">
        <w:rPr>
          <w:b/>
          <w:spacing w:val="-2"/>
          <w:szCs w:val="22"/>
        </w:rPr>
        <w:t>Comment Date:</w:t>
      </w:r>
      <w:r w:rsidRPr="00A438CD">
        <w:rPr>
          <w:spacing w:val="-2"/>
          <w:szCs w:val="22"/>
        </w:rPr>
        <w:t xml:space="preserve">  </w:t>
      </w:r>
      <w:r>
        <w:rPr>
          <w:spacing w:val="-2"/>
          <w:szCs w:val="22"/>
        </w:rPr>
        <w:t>(30 days after date of publication in the Federal Register)</w:t>
      </w:r>
    </w:p>
    <w:p w:rsidR="00A44B45" w:rsidRPr="00A438CD" w:rsidRDefault="00A44B45" w:rsidP="00A44B45">
      <w:pPr>
        <w:tabs>
          <w:tab w:val="left" w:pos="5760"/>
        </w:tabs>
        <w:rPr>
          <w:szCs w:val="22"/>
        </w:rPr>
      </w:pPr>
      <w:r w:rsidRPr="00726E19">
        <w:rPr>
          <w:b/>
          <w:spacing w:val="-2"/>
          <w:szCs w:val="22"/>
        </w:rPr>
        <w:t>Reply Comment Date:</w:t>
      </w:r>
      <w:r w:rsidRPr="00A438CD">
        <w:rPr>
          <w:spacing w:val="-2"/>
          <w:szCs w:val="22"/>
        </w:rPr>
        <w:t xml:space="preserve">  </w:t>
      </w:r>
      <w:r>
        <w:rPr>
          <w:spacing w:val="-2"/>
          <w:szCs w:val="22"/>
        </w:rPr>
        <w:t>(60 days after date of publication in the Federal Register)</w:t>
      </w:r>
    </w:p>
    <w:p w:rsidR="003545BC" w:rsidRPr="007F7B4B" w:rsidRDefault="003545BC" w:rsidP="00A1103B">
      <w:pPr>
        <w:tabs>
          <w:tab w:val="left" w:pos="5760"/>
        </w:tabs>
        <w:rPr>
          <w:b/>
          <w:spacing w:val="-2"/>
          <w:szCs w:val="22"/>
        </w:rPr>
      </w:pPr>
    </w:p>
    <w:p w:rsidR="00B62823" w:rsidRDefault="00EE1E92" w:rsidP="00EE1E92">
      <w:pPr>
        <w:pStyle w:val="TOCTitle"/>
      </w:pPr>
      <w:bookmarkStart w:id="0" w:name="TOChere"/>
      <w:r>
        <w:t>Table of Contents</w:t>
      </w:r>
    </w:p>
    <w:p w:rsidR="00EE1E92" w:rsidRDefault="00EE1E92" w:rsidP="00EE1E92">
      <w:pPr>
        <w:pStyle w:val="Paratitle"/>
      </w:pPr>
      <w:r>
        <w:t>Heading</w:t>
      </w:r>
      <w:r>
        <w:tab/>
        <w:t>Paragraph #</w:t>
      </w:r>
      <w:bookmarkStart w:id="1" w:name="start_here"/>
      <w:bookmarkEnd w:id="1"/>
    </w:p>
    <w:p w:rsidR="00EE1E92" w:rsidRDefault="00EE1E92" w:rsidP="00EE1E92">
      <w:pPr>
        <w:pStyle w:val="TOC1"/>
        <w:rPr>
          <w:rFonts w:asciiTheme="minorHAnsi" w:eastAsiaTheme="minorEastAsia" w:hAnsiTheme="minorHAnsi" w:cstheme="minorBidi"/>
          <w:caps w:val="0"/>
          <w:snapToGrid/>
          <w:kern w:val="0"/>
          <w:szCs w:val="22"/>
        </w:rPr>
      </w:pPr>
      <w:r w:rsidRPr="00224FAD">
        <w:rPr>
          <w:bCs/>
        </w:rPr>
        <w:t>I.</w:t>
      </w:r>
      <w:r>
        <w:rPr>
          <w:rFonts w:asciiTheme="minorHAnsi" w:eastAsiaTheme="minorEastAsia" w:hAnsiTheme="minorHAnsi" w:cstheme="minorBidi"/>
          <w:caps w:val="0"/>
          <w:snapToGrid/>
          <w:kern w:val="0"/>
          <w:szCs w:val="22"/>
        </w:rPr>
        <w:tab/>
      </w:r>
      <w:r w:rsidRPr="00224FAD">
        <w:rPr>
          <w:bCs/>
        </w:rPr>
        <w:t>introduction and executive summary</w:t>
      </w:r>
      <w:r>
        <w:tab/>
        <w:t>1</w:t>
      </w:r>
    </w:p>
    <w:p w:rsidR="00EE1E92" w:rsidRDefault="00EE1E92" w:rsidP="00EE1E92">
      <w:pPr>
        <w:pStyle w:val="TOC1"/>
        <w:rPr>
          <w:rFonts w:asciiTheme="minorHAnsi" w:eastAsiaTheme="minorEastAsia" w:hAnsiTheme="minorHAnsi" w:cstheme="minorBidi"/>
          <w:caps w:val="0"/>
          <w:snapToGrid/>
          <w:kern w:val="0"/>
          <w:szCs w:val="22"/>
        </w:rPr>
      </w:pPr>
      <w:r w:rsidRPr="00224FAD">
        <w:t>II.</w:t>
      </w:r>
      <w:r>
        <w:rPr>
          <w:rFonts w:asciiTheme="minorHAnsi" w:eastAsiaTheme="minorEastAsia" w:hAnsiTheme="minorHAnsi" w:cstheme="minorBidi"/>
          <w:caps w:val="0"/>
          <w:snapToGrid/>
          <w:kern w:val="0"/>
          <w:szCs w:val="22"/>
        </w:rPr>
        <w:tab/>
      </w:r>
      <w:r w:rsidRPr="00224FAD">
        <w:t>background</w:t>
      </w:r>
      <w:r>
        <w:tab/>
        <w:t>2</w:t>
      </w:r>
    </w:p>
    <w:p w:rsidR="00EE1E92" w:rsidRDefault="00EE1E92" w:rsidP="00EE1E92">
      <w:pPr>
        <w:pStyle w:val="TOC1"/>
        <w:rPr>
          <w:rFonts w:asciiTheme="minorHAnsi" w:eastAsiaTheme="minorEastAsia" w:hAnsiTheme="minorHAnsi" w:cstheme="minorBidi"/>
          <w:caps w:val="0"/>
          <w:snapToGrid/>
          <w:kern w:val="0"/>
          <w:szCs w:val="22"/>
        </w:rPr>
      </w:pPr>
      <w:r w:rsidRPr="00224FAD">
        <w:t>III.</w:t>
      </w:r>
      <w:r>
        <w:rPr>
          <w:rFonts w:asciiTheme="minorHAnsi" w:eastAsiaTheme="minorEastAsia" w:hAnsiTheme="minorHAnsi" w:cstheme="minorBidi"/>
          <w:caps w:val="0"/>
          <w:snapToGrid/>
          <w:kern w:val="0"/>
          <w:szCs w:val="22"/>
        </w:rPr>
        <w:tab/>
      </w:r>
      <w:r w:rsidRPr="00224FAD">
        <w:t>discuSsion</w:t>
      </w:r>
      <w:r>
        <w:tab/>
        <w:t>6</w:t>
      </w:r>
    </w:p>
    <w:p w:rsidR="00EE1E92" w:rsidRDefault="00EE1E92" w:rsidP="00EE1E92">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AM Expanded Band Radio Stations</w:t>
      </w:r>
      <w:r>
        <w:tab/>
        <w:t>6</w:t>
      </w:r>
    </w:p>
    <w:p w:rsidR="00EE1E92" w:rsidRDefault="00EE1E92" w:rsidP="00EE1E92">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Reallocations within Fee Categories</w:t>
      </w:r>
      <w:r>
        <w:tab/>
        <w:t>8</w:t>
      </w:r>
    </w:p>
    <w:p w:rsidR="00EE1E92" w:rsidRDefault="00EE1E92" w:rsidP="00EE1E92">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Submarine Cable</w:t>
      </w:r>
      <w:r>
        <w:tab/>
        <w:t>8</w:t>
      </w:r>
    </w:p>
    <w:p w:rsidR="00EE1E92" w:rsidRDefault="00EE1E92" w:rsidP="00EE1E92">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Earth Stations</w:t>
      </w:r>
      <w:r>
        <w:tab/>
        <w:t>12</w:t>
      </w:r>
    </w:p>
    <w:p w:rsidR="00EE1E92" w:rsidRDefault="00EE1E92" w:rsidP="00EE1E92">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Improving the Regulatory Fee Process</w:t>
      </w:r>
      <w:r>
        <w:tab/>
        <w:t>13</w:t>
      </w:r>
    </w:p>
    <w:p w:rsidR="00EE1E92" w:rsidRDefault="00EE1E92" w:rsidP="00EE1E92">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Revising the De Minimis Threshold</w:t>
      </w:r>
      <w:r>
        <w:tab/>
        <w:t>18</w:t>
      </w:r>
    </w:p>
    <w:p w:rsidR="00EE1E92" w:rsidRDefault="00EE1E92" w:rsidP="00EE1E92">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Eliminating Certain Regulatory Fee Categories</w:t>
      </w:r>
      <w:r>
        <w:tab/>
        <w:t>22</w:t>
      </w:r>
    </w:p>
    <w:p w:rsidR="00EE1E92" w:rsidRDefault="00EE1E92" w:rsidP="00EE1E92">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New Regulatory Fee Categories—Toll Free Numbers</w:t>
      </w:r>
      <w:r>
        <w:tab/>
        <w:t>25</w:t>
      </w:r>
    </w:p>
    <w:p w:rsidR="00EE1E92" w:rsidRDefault="00EE1E92" w:rsidP="00EE1E92">
      <w:pPr>
        <w:pStyle w:val="TOC2"/>
        <w:tabs>
          <w:tab w:val="left" w:pos="360"/>
        </w:tabs>
        <w:rPr>
          <w:rFonts w:asciiTheme="minorHAnsi" w:eastAsiaTheme="minorEastAsia" w:hAnsiTheme="minorHAnsi" w:cstheme="minorBidi"/>
          <w:snapToGrid/>
          <w:kern w:val="0"/>
          <w:szCs w:val="22"/>
        </w:rPr>
      </w:pPr>
      <w:r>
        <w:t>G.</w:t>
      </w:r>
      <w:r>
        <w:rPr>
          <w:rFonts w:asciiTheme="minorHAnsi" w:eastAsiaTheme="minorEastAsia" w:hAnsiTheme="minorHAnsi" w:cstheme="minorBidi"/>
          <w:snapToGrid/>
          <w:kern w:val="0"/>
          <w:szCs w:val="22"/>
        </w:rPr>
        <w:tab/>
      </w:r>
      <w:r>
        <w:t>Additional Regulatory Fee Reform</w:t>
      </w:r>
      <w:r>
        <w:tab/>
        <w:t>29</w:t>
      </w:r>
    </w:p>
    <w:p w:rsidR="00EE1E92" w:rsidRDefault="00EE1E92" w:rsidP="00EE1E92">
      <w:pPr>
        <w:pStyle w:val="TOC2"/>
        <w:tabs>
          <w:tab w:val="left" w:pos="360"/>
        </w:tabs>
        <w:rPr>
          <w:rFonts w:asciiTheme="minorHAnsi" w:eastAsiaTheme="minorEastAsia" w:hAnsiTheme="minorHAnsi" w:cstheme="minorBidi"/>
          <w:snapToGrid/>
          <w:kern w:val="0"/>
          <w:szCs w:val="22"/>
        </w:rPr>
      </w:pPr>
      <w:r>
        <w:t>H.</w:t>
      </w:r>
      <w:r>
        <w:rPr>
          <w:rFonts w:asciiTheme="minorHAnsi" w:eastAsiaTheme="minorEastAsia" w:hAnsiTheme="minorHAnsi" w:cstheme="minorBidi"/>
          <w:snapToGrid/>
          <w:kern w:val="0"/>
          <w:szCs w:val="22"/>
        </w:rPr>
        <w:tab/>
      </w:r>
      <w:r>
        <w:t>Other Issues</w:t>
      </w:r>
      <w:r>
        <w:tab/>
        <w:t>30</w:t>
      </w:r>
    </w:p>
    <w:p w:rsidR="00EE1E92" w:rsidRDefault="00EE1E92" w:rsidP="00EE1E92">
      <w:pPr>
        <w:pStyle w:val="TOC1"/>
        <w:rPr>
          <w:rFonts w:asciiTheme="minorHAnsi" w:eastAsiaTheme="minorEastAsia" w:hAnsiTheme="minorHAnsi" w:cstheme="minorBidi"/>
          <w:caps w:val="0"/>
          <w:snapToGrid/>
          <w:kern w:val="0"/>
          <w:szCs w:val="22"/>
        </w:rPr>
      </w:pPr>
      <w:r w:rsidRPr="00224FAD">
        <w:t>IV.</w:t>
      </w:r>
      <w:r>
        <w:rPr>
          <w:rFonts w:asciiTheme="minorHAnsi" w:eastAsiaTheme="minorEastAsia" w:hAnsiTheme="minorHAnsi" w:cstheme="minorBidi"/>
          <w:caps w:val="0"/>
          <w:snapToGrid/>
          <w:kern w:val="0"/>
          <w:szCs w:val="22"/>
        </w:rPr>
        <w:tab/>
      </w:r>
      <w:r w:rsidRPr="00224FAD">
        <w:t>Second Further notice of proposed rulemaking</w:t>
      </w:r>
      <w:r>
        <w:tab/>
        <w:t>36</w:t>
      </w:r>
    </w:p>
    <w:p w:rsidR="00EE1E92" w:rsidRDefault="00EE1E92" w:rsidP="00EE1E92">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Toll Free Numbers</w:t>
      </w:r>
      <w:r>
        <w:tab/>
        <w:t>36</w:t>
      </w:r>
    </w:p>
    <w:p w:rsidR="00EE1E92" w:rsidRDefault="00EE1E92" w:rsidP="00EE1E92">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DBS</w:t>
      </w:r>
      <w:r>
        <w:tab/>
        <w:t>38</w:t>
      </w:r>
    </w:p>
    <w:p w:rsidR="00EE1E92" w:rsidRDefault="00EE1E92" w:rsidP="00EE1E92">
      <w:pPr>
        <w:pStyle w:val="TOC1"/>
        <w:rPr>
          <w:rFonts w:asciiTheme="minorHAnsi" w:eastAsiaTheme="minorEastAsia" w:hAnsiTheme="minorHAnsi" w:cstheme="minorBidi"/>
          <w:caps w:val="0"/>
          <w:snapToGrid/>
          <w:kern w:val="0"/>
          <w:szCs w:val="22"/>
        </w:rPr>
      </w:pPr>
      <w:r w:rsidRPr="00224FAD">
        <w:t>V.</w:t>
      </w:r>
      <w:r>
        <w:rPr>
          <w:rFonts w:asciiTheme="minorHAnsi" w:eastAsiaTheme="minorEastAsia" w:hAnsiTheme="minorHAnsi" w:cstheme="minorBidi"/>
          <w:caps w:val="0"/>
          <w:snapToGrid/>
          <w:kern w:val="0"/>
          <w:szCs w:val="22"/>
        </w:rPr>
        <w:tab/>
      </w:r>
      <w:r w:rsidRPr="00224FAD">
        <w:t>procedural matters</w:t>
      </w:r>
      <w:r>
        <w:tab/>
        <w:t>44</w:t>
      </w:r>
    </w:p>
    <w:p w:rsidR="00EE1E92" w:rsidRDefault="00EE1E92" w:rsidP="00EE1E92">
      <w:pPr>
        <w:pStyle w:val="TOC1"/>
        <w:rPr>
          <w:rFonts w:asciiTheme="minorHAnsi" w:eastAsiaTheme="minorEastAsia" w:hAnsiTheme="minorHAnsi" w:cstheme="minorBidi"/>
          <w:caps w:val="0"/>
          <w:snapToGrid/>
          <w:kern w:val="0"/>
          <w:szCs w:val="22"/>
        </w:rPr>
      </w:pPr>
      <w:r w:rsidRPr="00224FAD">
        <w:t>VI.</w:t>
      </w:r>
      <w:r>
        <w:rPr>
          <w:rFonts w:asciiTheme="minorHAnsi" w:eastAsiaTheme="minorEastAsia" w:hAnsiTheme="minorHAnsi" w:cstheme="minorBidi"/>
          <w:caps w:val="0"/>
          <w:snapToGrid/>
          <w:kern w:val="0"/>
          <w:szCs w:val="22"/>
        </w:rPr>
        <w:tab/>
      </w:r>
      <w:r w:rsidRPr="00224FAD">
        <w:t>ORDERING CLAUSES</w:t>
      </w:r>
      <w:r>
        <w:tab/>
        <w:t>62</w:t>
      </w:r>
    </w:p>
    <w:p w:rsidR="00EE1E92" w:rsidRDefault="00D15236" w:rsidP="00EE1E92">
      <w:pPr>
        <w:pStyle w:val="TOC2"/>
        <w:tabs>
          <w:tab w:val="left" w:pos="360"/>
        </w:tabs>
        <w:rPr>
          <w:rFonts w:eastAsiaTheme="minorEastAsia"/>
          <w:snapToGrid/>
          <w:kern w:val="0"/>
          <w:szCs w:val="22"/>
        </w:rPr>
      </w:pPr>
      <w:r>
        <w:rPr>
          <w:rFonts w:eastAsiaTheme="minorEastAsia"/>
          <w:snapToGrid/>
          <w:kern w:val="0"/>
          <w:szCs w:val="22"/>
        </w:rPr>
        <w:t>APPENDIX A</w:t>
      </w:r>
      <w:r w:rsidR="00460E14">
        <w:rPr>
          <w:rFonts w:eastAsiaTheme="minorEastAsia"/>
          <w:snapToGrid/>
          <w:kern w:val="0"/>
          <w:szCs w:val="22"/>
        </w:rPr>
        <w:t xml:space="preserve"> </w:t>
      </w:r>
      <w:r>
        <w:rPr>
          <w:rFonts w:eastAsiaTheme="minorEastAsia"/>
          <w:snapToGrid/>
          <w:kern w:val="0"/>
          <w:szCs w:val="22"/>
        </w:rPr>
        <w:t>—</w:t>
      </w:r>
      <w:r w:rsidR="00460E14">
        <w:rPr>
          <w:rFonts w:eastAsiaTheme="minorEastAsia"/>
          <w:snapToGrid/>
          <w:kern w:val="0"/>
          <w:szCs w:val="22"/>
        </w:rPr>
        <w:t xml:space="preserve"> </w:t>
      </w:r>
      <w:r>
        <w:rPr>
          <w:rFonts w:eastAsiaTheme="minorEastAsia"/>
          <w:snapToGrid/>
          <w:kern w:val="0"/>
          <w:szCs w:val="22"/>
        </w:rPr>
        <w:t>List of Commenters</w:t>
      </w:r>
    </w:p>
    <w:p w:rsidR="00D15236" w:rsidRDefault="00D15236" w:rsidP="00D15236">
      <w:pPr>
        <w:pStyle w:val="TOC2"/>
        <w:tabs>
          <w:tab w:val="left" w:pos="360"/>
        </w:tabs>
        <w:rPr>
          <w:rFonts w:eastAsiaTheme="minorEastAsia"/>
        </w:rPr>
      </w:pPr>
      <w:r>
        <w:rPr>
          <w:rFonts w:eastAsiaTheme="minorEastAsia"/>
        </w:rPr>
        <w:t>APPENDIX B</w:t>
      </w:r>
      <w:r w:rsidR="00460E14">
        <w:rPr>
          <w:rFonts w:eastAsiaTheme="minorEastAsia"/>
        </w:rPr>
        <w:t xml:space="preserve"> </w:t>
      </w:r>
      <w:r>
        <w:rPr>
          <w:rFonts w:eastAsiaTheme="minorEastAsia"/>
        </w:rPr>
        <w:t>—</w:t>
      </w:r>
      <w:r w:rsidR="00460E14">
        <w:rPr>
          <w:rFonts w:eastAsiaTheme="minorEastAsia"/>
        </w:rPr>
        <w:t xml:space="preserve"> </w:t>
      </w:r>
      <w:r>
        <w:rPr>
          <w:rFonts w:eastAsiaTheme="minorEastAsia"/>
        </w:rPr>
        <w:t>Calculation of FY 2014 Revenue Requirement</w:t>
      </w:r>
    </w:p>
    <w:p w:rsidR="00D15236" w:rsidRDefault="00D15236" w:rsidP="00D15236">
      <w:pPr>
        <w:pStyle w:val="TOC2"/>
        <w:tabs>
          <w:tab w:val="left" w:pos="360"/>
        </w:tabs>
        <w:rPr>
          <w:rFonts w:eastAsiaTheme="minorEastAsia"/>
        </w:rPr>
      </w:pPr>
      <w:r>
        <w:rPr>
          <w:rFonts w:eastAsiaTheme="minorEastAsia"/>
        </w:rPr>
        <w:t>APPENDIX C</w:t>
      </w:r>
      <w:r w:rsidR="00460E14">
        <w:rPr>
          <w:rFonts w:eastAsiaTheme="minorEastAsia"/>
        </w:rPr>
        <w:t xml:space="preserve"> </w:t>
      </w:r>
      <w:r>
        <w:rPr>
          <w:rFonts w:eastAsiaTheme="minorEastAsia"/>
        </w:rPr>
        <w:t>—</w:t>
      </w:r>
      <w:r w:rsidR="00460E14">
        <w:rPr>
          <w:rFonts w:eastAsiaTheme="minorEastAsia"/>
        </w:rPr>
        <w:t xml:space="preserve"> </w:t>
      </w:r>
      <w:r>
        <w:rPr>
          <w:rFonts w:eastAsiaTheme="minorEastAsia"/>
        </w:rPr>
        <w:t>FY 2014 Schedule of Regulatory Fees</w:t>
      </w:r>
    </w:p>
    <w:p w:rsidR="00D15236" w:rsidRDefault="00D15236" w:rsidP="00D15236">
      <w:pPr>
        <w:pStyle w:val="TOC2"/>
        <w:tabs>
          <w:tab w:val="left" w:pos="360"/>
        </w:tabs>
        <w:rPr>
          <w:rFonts w:eastAsiaTheme="minorEastAsia"/>
        </w:rPr>
      </w:pPr>
      <w:r>
        <w:rPr>
          <w:rFonts w:eastAsiaTheme="minorEastAsia"/>
        </w:rPr>
        <w:lastRenderedPageBreak/>
        <w:t>APPENDIX D</w:t>
      </w:r>
      <w:r w:rsidR="00460E14">
        <w:rPr>
          <w:rFonts w:eastAsiaTheme="minorEastAsia"/>
        </w:rPr>
        <w:t xml:space="preserve"> </w:t>
      </w:r>
      <w:r>
        <w:rPr>
          <w:rFonts w:eastAsiaTheme="minorEastAsia"/>
        </w:rPr>
        <w:t>—</w:t>
      </w:r>
      <w:r w:rsidR="00460E14">
        <w:rPr>
          <w:rFonts w:eastAsiaTheme="minorEastAsia"/>
        </w:rPr>
        <w:t xml:space="preserve"> </w:t>
      </w:r>
      <w:r>
        <w:rPr>
          <w:rFonts w:eastAsiaTheme="minorEastAsia"/>
        </w:rPr>
        <w:t>Sources of Program Unit Estimates</w:t>
      </w:r>
    </w:p>
    <w:p w:rsidR="00D15236" w:rsidRDefault="00D15236" w:rsidP="00D15236">
      <w:pPr>
        <w:pStyle w:val="TOC2"/>
        <w:tabs>
          <w:tab w:val="left" w:pos="360"/>
        </w:tabs>
        <w:rPr>
          <w:rFonts w:eastAsiaTheme="minorEastAsia"/>
        </w:rPr>
      </w:pPr>
      <w:r>
        <w:rPr>
          <w:rFonts w:eastAsiaTheme="minorEastAsia"/>
        </w:rPr>
        <w:t>APPENDIX E</w:t>
      </w:r>
      <w:r w:rsidR="00C67736">
        <w:rPr>
          <w:rFonts w:eastAsiaTheme="minorEastAsia"/>
        </w:rPr>
        <w:t xml:space="preserve"> </w:t>
      </w:r>
      <w:r>
        <w:rPr>
          <w:rFonts w:eastAsiaTheme="minorEastAsia"/>
        </w:rPr>
        <w:t>—</w:t>
      </w:r>
      <w:r w:rsidR="00C67736">
        <w:rPr>
          <w:rFonts w:eastAsiaTheme="minorEastAsia"/>
        </w:rPr>
        <w:t xml:space="preserve"> </w:t>
      </w:r>
      <w:r>
        <w:rPr>
          <w:rFonts w:eastAsiaTheme="minorEastAsia"/>
        </w:rPr>
        <w:t>Factors, Measurements, and Allocations</w:t>
      </w:r>
    </w:p>
    <w:p w:rsidR="00D15236" w:rsidRDefault="00D15236" w:rsidP="00D15236">
      <w:pPr>
        <w:pStyle w:val="TOC2"/>
        <w:tabs>
          <w:tab w:val="left" w:pos="360"/>
        </w:tabs>
        <w:rPr>
          <w:rFonts w:eastAsiaTheme="minorEastAsia"/>
        </w:rPr>
      </w:pPr>
      <w:r>
        <w:rPr>
          <w:rFonts w:eastAsiaTheme="minorEastAsia"/>
        </w:rPr>
        <w:t>APPENDIX F</w:t>
      </w:r>
      <w:r w:rsidR="00C67736">
        <w:rPr>
          <w:rFonts w:eastAsiaTheme="minorEastAsia"/>
        </w:rPr>
        <w:t xml:space="preserve"> </w:t>
      </w:r>
      <w:r>
        <w:rPr>
          <w:rFonts w:eastAsiaTheme="minorEastAsia"/>
        </w:rPr>
        <w:t>—</w:t>
      </w:r>
      <w:r w:rsidR="00C67736">
        <w:rPr>
          <w:rFonts w:eastAsiaTheme="minorEastAsia"/>
        </w:rPr>
        <w:t xml:space="preserve"> </w:t>
      </w:r>
      <w:r>
        <w:rPr>
          <w:rFonts w:eastAsiaTheme="minorEastAsia"/>
        </w:rPr>
        <w:t>Final Regulatory Flexibility Analysis</w:t>
      </w:r>
    </w:p>
    <w:p w:rsidR="00D15236" w:rsidRDefault="00D15236" w:rsidP="00D15236">
      <w:pPr>
        <w:pStyle w:val="TOC2"/>
        <w:tabs>
          <w:tab w:val="left" w:pos="360"/>
        </w:tabs>
        <w:rPr>
          <w:rFonts w:eastAsiaTheme="minorEastAsia"/>
        </w:rPr>
      </w:pPr>
      <w:r>
        <w:rPr>
          <w:rFonts w:eastAsiaTheme="minorEastAsia"/>
        </w:rPr>
        <w:t>APPENDIX G</w:t>
      </w:r>
      <w:r w:rsidR="00C67736">
        <w:rPr>
          <w:rFonts w:eastAsiaTheme="minorEastAsia"/>
        </w:rPr>
        <w:t xml:space="preserve"> </w:t>
      </w:r>
      <w:r>
        <w:rPr>
          <w:rFonts w:eastAsiaTheme="minorEastAsia"/>
        </w:rPr>
        <w:t>—</w:t>
      </w:r>
      <w:r w:rsidR="00C67736">
        <w:rPr>
          <w:rFonts w:eastAsiaTheme="minorEastAsia"/>
        </w:rPr>
        <w:t xml:space="preserve"> </w:t>
      </w:r>
      <w:r>
        <w:rPr>
          <w:rFonts w:eastAsiaTheme="minorEastAsia"/>
        </w:rPr>
        <w:t>Initial Regulatory Flexibility Analysis</w:t>
      </w:r>
    </w:p>
    <w:p w:rsidR="00D15236" w:rsidRDefault="00D15236" w:rsidP="00D15236">
      <w:pPr>
        <w:pStyle w:val="TOC2"/>
        <w:tabs>
          <w:tab w:val="left" w:pos="360"/>
        </w:tabs>
        <w:rPr>
          <w:rFonts w:eastAsiaTheme="minorEastAsia"/>
        </w:rPr>
      </w:pPr>
      <w:r>
        <w:rPr>
          <w:rFonts w:eastAsiaTheme="minorEastAsia"/>
        </w:rPr>
        <w:t>APPENDIX H</w:t>
      </w:r>
      <w:r w:rsidR="00C67736">
        <w:rPr>
          <w:rFonts w:eastAsiaTheme="minorEastAsia"/>
        </w:rPr>
        <w:t xml:space="preserve"> </w:t>
      </w:r>
      <w:r>
        <w:rPr>
          <w:rFonts w:eastAsiaTheme="minorEastAsia"/>
        </w:rPr>
        <w:t>—</w:t>
      </w:r>
      <w:r w:rsidR="00C67736">
        <w:rPr>
          <w:rFonts w:eastAsiaTheme="minorEastAsia"/>
        </w:rPr>
        <w:t xml:space="preserve"> </w:t>
      </w:r>
      <w:r>
        <w:rPr>
          <w:rFonts w:eastAsiaTheme="minorEastAsia"/>
        </w:rPr>
        <w:t>Revised Allocations</w:t>
      </w:r>
    </w:p>
    <w:p w:rsidR="00D15236" w:rsidRPr="00D15236" w:rsidRDefault="00D15236" w:rsidP="00D15236">
      <w:pPr>
        <w:pStyle w:val="TOC2"/>
        <w:tabs>
          <w:tab w:val="left" w:pos="360"/>
        </w:tabs>
        <w:rPr>
          <w:rFonts w:eastAsiaTheme="minorEastAsia"/>
        </w:rPr>
      </w:pPr>
      <w:r>
        <w:rPr>
          <w:rFonts w:eastAsiaTheme="minorEastAsia"/>
        </w:rPr>
        <w:t>APPENDIX I</w:t>
      </w:r>
      <w:r w:rsidR="00C67736">
        <w:rPr>
          <w:rFonts w:eastAsiaTheme="minorEastAsia"/>
        </w:rPr>
        <w:t xml:space="preserve"> </w:t>
      </w:r>
      <w:r>
        <w:rPr>
          <w:rFonts w:eastAsiaTheme="minorEastAsia"/>
        </w:rPr>
        <w:t>—</w:t>
      </w:r>
      <w:r w:rsidR="00C67736">
        <w:rPr>
          <w:rFonts w:eastAsiaTheme="minorEastAsia"/>
        </w:rPr>
        <w:t xml:space="preserve"> </w:t>
      </w:r>
      <w:r>
        <w:rPr>
          <w:rFonts w:eastAsiaTheme="minorEastAsia"/>
        </w:rPr>
        <w:t>Rule Changes</w:t>
      </w:r>
    </w:p>
    <w:bookmarkEnd w:id="0"/>
    <w:p w:rsidR="00EE1E92" w:rsidRPr="00EE1E92" w:rsidRDefault="00EE1E92" w:rsidP="00EE1E92"/>
    <w:p w:rsidR="004777BD" w:rsidRPr="007F7B4B" w:rsidRDefault="004777BD" w:rsidP="00A1103B">
      <w:pPr>
        <w:pStyle w:val="Heading1"/>
        <w:rPr>
          <w:rFonts w:ascii="Times New Roman" w:hAnsi="Times New Roman"/>
          <w:bCs/>
          <w:szCs w:val="22"/>
        </w:rPr>
      </w:pPr>
      <w:bookmarkStart w:id="2" w:name="_Toc351484741"/>
      <w:bookmarkStart w:id="3" w:name="_Toc351484787"/>
      <w:bookmarkStart w:id="4" w:name="_Toc351484929"/>
      <w:bookmarkStart w:id="5" w:name="_Toc351571044"/>
      <w:bookmarkStart w:id="6" w:name="_Toc351572409"/>
      <w:bookmarkStart w:id="7" w:name="_Toc390878795"/>
      <w:bookmarkStart w:id="8" w:name="_Toc353032038"/>
      <w:bookmarkStart w:id="9" w:name="_Toc352943171"/>
      <w:bookmarkStart w:id="10" w:name="_Toc352943620"/>
      <w:bookmarkStart w:id="11" w:name="_Toc353987715"/>
      <w:bookmarkStart w:id="12" w:name="_Toc394672299"/>
      <w:bookmarkStart w:id="13" w:name="_Toc397078311"/>
      <w:r w:rsidRPr="007F7B4B">
        <w:rPr>
          <w:rFonts w:ascii="Times New Roman" w:hAnsi="Times New Roman"/>
          <w:bCs/>
          <w:szCs w:val="22"/>
        </w:rPr>
        <w:t>introduction</w:t>
      </w:r>
      <w:bookmarkEnd w:id="2"/>
      <w:bookmarkEnd w:id="3"/>
      <w:bookmarkEnd w:id="4"/>
      <w:bookmarkEnd w:id="5"/>
      <w:bookmarkEnd w:id="6"/>
      <w:bookmarkEnd w:id="7"/>
      <w:r w:rsidR="005F0CAD" w:rsidRPr="007F7B4B">
        <w:rPr>
          <w:rFonts w:ascii="Times New Roman" w:hAnsi="Times New Roman"/>
          <w:bCs/>
          <w:szCs w:val="22"/>
        </w:rPr>
        <w:t xml:space="preserve"> </w:t>
      </w:r>
      <w:bookmarkEnd w:id="8"/>
      <w:bookmarkEnd w:id="9"/>
      <w:bookmarkEnd w:id="10"/>
      <w:bookmarkEnd w:id="11"/>
      <w:r w:rsidR="00DB15BE">
        <w:rPr>
          <w:rFonts w:ascii="Times New Roman" w:hAnsi="Times New Roman"/>
          <w:bCs/>
          <w:szCs w:val="22"/>
        </w:rPr>
        <w:t>and executive summary</w:t>
      </w:r>
      <w:bookmarkEnd w:id="12"/>
      <w:bookmarkEnd w:id="13"/>
    </w:p>
    <w:p w:rsidR="00A051C5" w:rsidRPr="00144B45" w:rsidRDefault="007B0474" w:rsidP="00F15C95">
      <w:pPr>
        <w:pStyle w:val="ParaNum"/>
      </w:pPr>
      <w:r>
        <w:t>T</w:t>
      </w:r>
      <w:r w:rsidR="00E5443D" w:rsidRPr="00144B45">
        <w:t>his Report and Order</w:t>
      </w:r>
      <w:r w:rsidR="00D5679C" w:rsidRPr="00144B45">
        <w:t xml:space="preserve"> </w:t>
      </w:r>
      <w:r w:rsidR="007F2719" w:rsidRPr="00144B45">
        <w:t>conclude</w:t>
      </w:r>
      <w:r>
        <w:t>s</w:t>
      </w:r>
      <w:r w:rsidR="007F2719" w:rsidRPr="00144B45">
        <w:t xml:space="preserve"> the rulemaking proceeding initiated to collect $339,844,000 in regulatory fees for Fiscal Year (FY) 2014, pursuant to Section 9 of the Communications Act of 1934, as amended (the Act or Communications Act).</w:t>
      </w:r>
      <w:r w:rsidR="007F2719" w:rsidRPr="007F7B4B">
        <w:rPr>
          <w:rStyle w:val="FootnoteReference"/>
          <w:szCs w:val="22"/>
        </w:rPr>
        <w:footnoteReference w:id="2"/>
      </w:r>
      <w:r w:rsidR="007F2719" w:rsidRPr="00144B45">
        <w:t xml:space="preserve"> </w:t>
      </w:r>
      <w:r w:rsidR="007F2719">
        <w:t xml:space="preserve"> </w:t>
      </w:r>
      <w:r w:rsidRPr="00144B45">
        <w:t>These regulatory fees are due in September 2014</w:t>
      </w:r>
      <w:r>
        <w:t xml:space="preserve">.  </w:t>
      </w:r>
      <w:r w:rsidR="007F2719" w:rsidRPr="00144B45">
        <w:t xml:space="preserve">This Report and Order </w:t>
      </w:r>
      <w:r>
        <w:t xml:space="preserve">also </w:t>
      </w:r>
      <w:r w:rsidR="00144B45">
        <w:t>adopt</w:t>
      </w:r>
      <w:r w:rsidR="007F2719">
        <w:t>s</w:t>
      </w:r>
      <w:r w:rsidR="00144B45">
        <w:t xml:space="preserve"> several propos</w:t>
      </w:r>
      <w:r w:rsidR="00E72054">
        <w:t xml:space="preserve">als from </w:t>
      </w:r>
      <w:r w:rsidR="00144B45">
        <w:t xml:space="preserve">our </w:t>
      </w:r>
      <w:r w:rsidR="00AD528C">
        <w:t xml:space="preserve">June 13, 2014 </w:t>
      </w:r>
      <w:r w:rsidR="00565A0E">
        <w:t xml:space="preserve">Notice of Proposed Rulemaking and Second </w:t>
      </w:r>
      <w:r w:rsidR="00144B45">
        <w:t xml:space="preserve">Further Notice of Proposed Rulemaking </w:t>
      </w:r>
      <w:r w:rsidR="00565A0E">
        <w:t>(</w:t>
      </w:r>
      <w:r w:rsidR="00691034" w:rsidRPr="002727DD">
        <w:rPr>
          <w:i/>
        </w:rPr>
        <w:t xml:space="preserve">FY 2014 </w:t>
      </w:r>
      <w:r w:rsidR="00565A0E" w:rsidRPr="002727DD">
        <w:rPr>
          <w:i/>
        </w:rPr>
        <w:t>NPRM</w:t>
      </w:r>
      <w:r w:rsidR="00565A0E">
        <w:t>)</w:t>
      </w:r>
      <w:r w:rsidR="00AD528C">
        <w:t>.</w:t>
      </w:r>
      <w:r w:rsidR="00144B45">
        <w:rPr>
          <w:rStyle w:val="FootnoteReference"/>
          <w:szCs w:val="22"/>
        </w:rPr>
        <w:footnoteReference w:id="3"/>
      </w:r>
      <w:r>
        <w:t xml:space="preserve">  Specifically the proposals adopted </w:t>
      </w:r>
      <w:r w:rsidR="00F529CA">
        <w:t>are:</w:t>
      </w:r>
      <w:r>
        <w:t xml:space="preserve">  </w:t>
      </w:r>
      <w:r w:rsidR="00DB15BE">
        <w:t xml:space="preserve">(1) </w:t>
      </w:r>
      <w:r w:rsidR="00F529CA">
        <w:t>end</w:t>
      </w:r>
      <w:r w:rsidR="00830A4D">
        <w:t>ing</w:t>
      </w:r>
      <w:r w:rsidR="00F529CA">
        <w:t xml:space="preserve"> the exemption of</w:t>
      </w:r>
      <w:r w:rsidR="00C3125E">
        <w:t xml:space="preserve"> </w:t>
      </w:r>
      <w:r w:rsidR="00DB15BE">
        <w:t>AM expanded band licenses</w:t>
      </w:r>
      <w:r w:rsidR="00C3125E">
        <w:t xml:space="preserve"> from regulatory fees</w:t>
      </w:r>
      <w:r w:rsidR="00DB15BE">
        <w:t>; (2) revis</w:t>
      </w:r>
      <w:r w:rsidR="000C14BD">
        <w:t>ing</w:t>
      </w:r>
      <w:r w:rsidR="00DB15BE">
        <w:t xml:space="preserve"> the apportionment between </w:t>
      </w:r>
      <w:r w:rsidR="00755515">
        <w:t xml:space="preserve">International Bureau licensees </w:t>
      </w:r>
      <w:r w:rsidR="00DB15BE">
        <w:t>to reduce the proportion paid by the submarine cable/terrestrial and satellite bearer circuits</w:t>
      </w:r>
      <w:r w:rsidR="00EA0619">
        <w:t xml:space="preserve"> by approximately five percent</w:t>
      </w:r>
      <w:r w:rsidR="00DB15BE">
        <w:t>; (3) increas</w:t>
      </w:r>
      <w:r w:rsidR="000C14BD">
        <w:t>ing</w:t>
      </w:r>
      <w:r w:rsidR="00DB15BE">
        <w:t xml:space="preserve"> the </w:t>
      </w:r>
      <w:r w:rsidR="00AD43E3">
        <w:t xml:space="preserve">regulatory fees </w:t>
      </w:r>
      <w:r w:rsidR="00DB15BE">
        <w:t>paid by earth station</w:t>
      </w:r>
      <w:r w:rsidR="00AD43E3">
        <w:t xml:space="preserve"> licensees</w:t>
      </w:r>
      <w:r w:rsidR="00DB15BE">
        <w:t xml:space="preserve"> </w:t>
      </w:r>
      <w:r w:rsidR="00EA0619">
        <w:t xml:space="preserve">by approximately </w:t>
      </w:r>
      <w:r w:rsidR="00AE4531">
        <w:t>7.5</w:t>
      </w:r>
      <w:r w:rsidR="00EA0619">
        <w:t xml:space="preserve"> percent </w:t>
      </w:r>
      <w:r w:rsidR="00DB15BE">
        <w:t>to more accurately reflect the regulation and oversight of this industry; (4) increas</w:t>
      </w:r>
      <w:r w:rsidR="000C14BD">
        <w:t>ing</w:t>
      </w:r>
      <w:r w:rsidR="00DB15BE">
        <w:t xml:space="preserve"> our </w:t>
      </w:r>
      <w:r w:rsidR="00AD43E3">
        <w:t xml:space="preserve">annual </w:t>
      </w:r>
      <w:r w:rsidR="00DB15BE">
        <w:t xml:space="preserve">de minimis threshold from </w:t>
      </w:r>
      <w:r w:rsidR="00A93CCB">
        <w:t xml:space="preserve">under </w:t>
      </w:r>
      <w:r w:rsidR="00DB15BE">
        <w:t>$10 to $500; (5) eliminat</w:t>
      </w:r>
      <w:r w:rsidR="000C14BD">
        <w:t>ing</w:t>
      </w:r>
      <w:r w:rsidR="00DB15BE">
        <w:t xml:space="preserve"> </w:t>
      </w:r>
      <w:r w:rsidR="008209AD">
        <w:t xml:space="preserve">several </w:t>
      </w:r>
      <w:r w:rsidR="00030B8F">
        <w:t xml:space="preserve">regulatory fee </w:t>
      </w:r>
      <w:r w:rsidR="00DB15BE">
        <w:t xml:space="preserve">categories </w:t>
      </w:r>
      <w:r w:rsidR="00830A4D">
        <w:t>(</w:t>
      </w:r>
      <w:r w:rsidR="00F97911">
        <w:t>218-</w:t>
      </w:r>
      <w:r w:rsidR="000C14BD">
        <w:t>219 MHz</w:t>
      </w:r>
      <w:r w:rsidR="008209AD">
        <w:t xml:space="preserve">, broadcast auxiliaries, and satellite </w:t>
      </w:r>
      <w:r w:rsidR="00F97911">
        <w:t xml:space="preserve">television </w:t>
      </w:r>
      <w:r w:rsidR="008209AD">
        <w:t>construction permits</w:t>
      </w:r>
      <w:r w:rsidR="00DB15BE">
        <w:t>) from regulatory fee requirements</w:t>
      </w:r>
      <w:r w:rsidR="00C57436">
        <w:t>; and adopting a regulatory fee for each toll free number managed by a Responsible Organization</w:t>
      </w:r>
      <w:r w:rsidR="008C1121">
        <w:t xml:space="preserve">. </w:t>
      </w:r>
      <w:r w:rsidR="008C1121" w:rsidRPr="00C302DE">
        <w:t xml:space="preserve"> </w:t>
      </w:r>
      <w:r w:rsidRPr="00C302DE">
        <w:t xml:space="preserve">The </w:t>
      </w:r>
      <w:r w:rsidR="00322727" w:rsidRPr="00C302DE">
        <w:t>incre</w:t>
      </w:r>
      <w:r w:rsidR="00030B8F" w:rsidRPr="00C302DE">
        <w:t xml:space="preserve">ase </w:t>
      </w:r>
      <w:r w:rsidRPr="00C302DE">
        <w:t>in</w:t>
      </w:r>
      <w:r w:rsidR="00030B8F" w:rsidRPr="00C302DE">
        <w:t xml:space="preserve"> the </w:t>
      </w:r>
      <w:r w:rsidR="005D303E" w:rsidRPr="00C302DE">
        <w:t xml:space="preserve">annual </w:t>
      </w:r>
      <w:r w:rsidR="00030B8F" w:rsidRPr="00C302DE">
        <w:t>de minimis threshold</w:t>
      </w:r>
      <w:r w:rsidR="00C57436">
        <w:t>,</w:t>
      </w:r>
      <w:r w:rsidR="00030B8F" w:rsidRPr="00C302DE">
        <w:t xml:space="preserve"> </w:t>
      </w:r>
      <w:r w:rsidR="006A4054" w:rsidRPr="00C302DE">
        <w:t xml:space="preserve">the </w:t>
      </w:r>
      <w:r w:rsidR="00AB45D8" w:rsidRPr="00C302DE">
        <w:t>elimination of t</w:t>
      </w:r>
      <w:r w:rsidR="00BB65F4">
        <w:t>hree</w:t>
      </w:r>
      <w:r w:rsidR="00AB45D8" w:rsidRPr="00C302DE">
        <w:t xml:space="preserve"> </w:t>
      </w:r>
      <w:r w:rsidR="005D303E" w:rsidRPr="00C302DE">
        <w:t xml:space="preserve">regulatory fee </w:t>
      </w:r>
      <w:r w:rsidR="00A93CCB">
        <w:t>categories</w:t>
      </w:r>
      <w:r w:rsidR="00C57436">
        <w:t>, and the new toll free category</w:t>
      </w:r>
      <w:r w:rsidR="00C40971">
        <w:t xml:space="preserve"> </w:t>
      </w:r>
      <w:r w:rsidR="00322727" w:rsidRPr="00C302DE">
        <w:t xml:space="preserve">will </w:t>
      </w:r>
      <w:r w:rsidRPr="00C302DE">
        <w:t>be effective in</w:t>
      </w:r>
      <w:r w:rsidR="00322727" w:rsidRPr="00C302DE">
        <w:t xml:space="preserve"> FY 2015</w:t>
      </w:r>
      <w:r w:rsidR="00F529CA">
        <w:t>, following the required notification of Congress.</w:t>
      </w:r>
      <w:r w:rsidR="00565D7F" w:rsidRPr="00C302DE">
        <w:t xml:space="preserve">  </w:t>
      </w:r>
      <w:r w:rsidR="006A4054" w:rsidRPr="00C302DE">
        <w:t>The other</w:t>
      </w:r>
      <w:r w:rsidR="006A4054">
        <w:t xml:space="preserve"> provisions adopted in this Report and Order </w:t>
      </w:r>
      <w:r w:rsidR="00A93CCB">
        <w:t>will be</w:t>
      </w:r>
      <w:r w:rsidR="006A4054">
        <w:t xml:space="preserve"> in effect for FY 2014 </w:t>
      </w:r>
      <w:r w:rsidR="00F529CA">
        <w:t xml:space="preserve">upon publication of a summary of this Report and Order in the Federal Register </w:t>
      </w:r>
      <w:r w:rsidR="006A4054">
        <w:t>and are reflected in the fee</w:t>
      </w:r>
      <w:r w:rsidR="0090094D">
        <w:t xml:space="preserve"> schedule attached as Appendix</w:t>
      </w:r>
      <w:r w:rsidR="00C76414">
        <w:t xml:space="preserve"> C.</w:t>
      </w:r>
      <w:r w:rsidR="00A93CCB" w:rsidRPr="00A93CCB">
        <w:t xml:space="preserve"> </w:t>
      </w:r>
      <w:r w:rsidR="00A93CCB">
        <w:t xml:space="preserve"> We are also seeking further comment on </w:t>
      </w:r>
      <w:r w:rsidR="009258A8">
        <w:t xml:space="preserve">methods to ensure or encourage compliance with our </w:t>
      </w:r>
      <w:r w:rsidR="00A93CCB" w:rsidRPr="00C302DE">
        <w:t>new toll</w:t>
      </w:r>
      <w:r w:rsidR="00307A7F">
        <w:t xml:space="preserve"> </w:t>
      </w:r>
      <w:r w:rsidR="00A93CCB" w:rsidRPr="00C302DE">
        <w:t xml:space="preserve">free regulatory fee </w:t>
      </w:r>
      <w:r w:rsidR="009258A8">
        <w:t xml:space="preserve">requirement as well as a proposal to adopt a new </w:t>
      </w:r>
      <w:r w:rsidR="009258A8" w:rsidRPr="00AC121A">
        <w:t>direct broadcast satellite</w:t>
      </w:r>
      <w:r w:rsidR="009258A8">
        <w:t xml:space="preserve"> (DBS) regulatory fee </w:t>
      </w:r>
      <w:r w:rsidR="00A93CCB" w:rsidRPr="00C302DE">
        <w:t>category</w:t>
      </w:r>
      <w:r w:rsidR="00AA169A">
        <w:t xml:space="preserve"> in the attached Further Notice of Proposed Rulemaking</w:t>
      </w:r>
      <w:r w:rsidR="00A93CCB">
        <w:t>.</w:t>
      </w:r>
    </w:p>
    <w:p w:rsidR="00A051C5" w:rsidRDefault="00A051C5" w:rsidP="00A051C5">
      <w:pPr>
        <w:pStyle w:val="Heading1"/>
        <w:rPr>
          <w:rFonts w:ascii="Times New Roman" w:hAnsi="Times New Roman"/>
          <w:szCs w:val="22"/>
        </w:rPr>
      </w:pPr>
      <w:bookmarkStart w:id="14" w:name="_Toc390878796"/>
      <w:bookmarkStart w:id="15" w:name="_Toc394672300"/>
      <w:bookmarkStart w:id="16" w:name="_Toc397078312"/>
      <w:r w:rsidRPr="007F7B4B">
        <w:rPr>
          <w:rFonts w:ascii="Times New Roman" w:hAnsi="Times New Roman"/>
          <w:szCs w:val="22"/>
        </w:rPr>
        <w:t>background</w:t>
      </w:r>
      <w:bookmarkEnd w:id="14"/>
      <w:bookmarkEnd w:id="15"/>
      <w:bookmarkEnd w:id="16"/>
    </w:p>
    <w:p w:rsidR="007D6B6A" w:rsidRDefault="0031360A" w:rsidP="00F15C95">
      <w:pPr>
        <w:pStyle w:val="ParaNum"/>
      </w:pPr>
      <w:r>
        <w:t>T</w:t>
      </w:r>
      <w:r w:rsidR="00F900B8" w:rsidRPr="007F7B4B">
        <w:t xml:space="preserve">he Commission </w:t>
      </w:r>
      <w:r w:rsidR="000263B2">
        <w:t>is required by Congress to assess regulatory fees</w:t>
      </w:r>
      <w:r w:rsidRPr="0031360A">
        <w:t xml:space="preserve"> </w:t>
      </w:r>
      <w:r>
        <w:t>e</w:t>
      </w:r>
      <w:r w:rsidRPr="007F7B4B">
        <w:t>ach year</w:t>
      </w:r>
      <w:r w:rsidR="000F53B0">
        <w:t xml:space="preserve"> in an amount that can reasonably be expected to equal the amount of its appropriation</w:t>
      </w:r>
      <w:r w:rsidR="000263B2">
        <w:t>.</w:t>
      </w:r>
      <w:r w:rsidR="000F53B0">
        <w:rPr>
          <w:rStyle w:val="FootnoteReference"/>
        </w:rPr>
        <w:footnoteReference w:id="4"/>
      </w:r>
      <w:r w:rsidR="000263B2">
        <w:t xml:space="preserve">  The Commission calculates</w:t>
      </w:r>
      <w:r w:rsidR="00F900B8" w:rsidRPr="007F7B4B">
        <w:t xml:space="preserve"> the fees </w:t>
      </w:r>
      <w:r w:rsidR="000263B2">
        <w:t xml:space="preserve">by first </w:t>
      </w:r>
      <w:r w:rsidR="00F900B8" w:rsidRPr="007F7B4B">
        <w:t xml:space="preserve">determining the full-time equivalent </w:t>
      </w:r>
      <w:r w:rsidR="00030B8F">
        <w:t>(FTE)</w:t>
      </w:r>
      <w:r w:rsidR="00BF71AC">
        <w:rPr>
          <w:rStyle w:val="FootnoteReference"/>
          <w:szCs w:val="22"/>
        </w:rPr>
        <w:footnoteReference w:id="5"/>
      </w:r>
      <w:r w:rsidR="00030B8F">
        <w:t xml:space="preserve"> </w:t>
      </w:r>
      <w:r w:rsidR="00F900B8" w:rsidRPr="007F7B4B">
        <w:t>number of employees performing</w:t>
      </w:r>
      <w:r w:rsidR="00744BA3">
        <w:t xml:space="preserve"> the regulatory </w:t>
      </w:r>
      <w:r w:rsidR="00F900B8" w:rsidRPr="007F7B4B">
        <w:t xml:space="preserve">activities </w:t>
      </w:r>
      <w:r w:rsidR="00744BA3">
        <w:t xml:space="preserve">specified in section 9(a), </w:t>
      </w:r>
      <w:r w:rsidR="00F900B8" w:rsidRPr="007F7B4B">
        <w:t xml:space="preserve">“adjusted to take into account factors that are reasonably </w:t>
      </w:r>
      <w:r w:rsidR="00F900B8" w:rsidRPr="007F7B4B">
        <w:lastRenderedPageBreak/>
        <w:t>related to the benefits provided to the payer of the fee by the Commission’s activities</w:t>
      </w:r>
      <w:r w:rsidR="00F900B8" w:rsidRPr="007D6B6A">
        <w:rPr>
          <w:caps/>
        </w:rPr>
        <w:t>….”</w:t>
      </w:r>
      <w:r w:rsidR="00F900B8" w:rsidRPr="007F7B4B">
        <w:rPr>
          <w:rStyle w:val="FootnoteReference"/>
          <w:szCs w:val="22"/>
        </w:rPr>
        <w:footnoteReference w:id="6"/>
      </w:r>
      <w:r w:rsidR="00F900B8" w:rsidRPr="007F7B4B">
        <w:t xml:space="preserve">  </w:t>
      </w:r>
      <w:r w:rsidR="00113D8D">
        <w:t>R</w:t>
      </w:r>
      <w:r w:rsidR="00113D8D" w:rsidRPr="007D6B6A">
        <w:rPr>
          <w:szCs w:val="22"/>
        </w:rPr>
        <w:t>egulatory fees must also cover the costs the Commission incurs in regulating entities that are statutorily exempt from paying regulatory fees,</w:t>
      </w:r>
      <w:r w:rsidR="00113D8D" w:rsidRPr="005835D5">
        <w:rPr>
          <w:rStyle w:val="FootnoteReference"/>
          <w:szCs w:val="22"/>
        </w:rPr>
        <w:footnoteReference w:id="7"/>
      </w:r>
      <w:r w:rsidR="00113D8D" w:rsidRPr="007D6B6A">
        <w:rPr>
          <w:szCs w:val="22"/>
        </w:rPr>
        <w:t xml:space="preserve"> entities whose regulatory fees are waived,</w:t>
      </w:r>
      <w:r w:rsidR="00113D8D" w:rsidRPr="005835D5">
        <w:rPr>
          <w:rStyle w:val="FootnoteReference"/>
          <w:szCs w:val="22"/>
        </w:rPr>
        <w:footnoteReference w:id="8"/>
      </w:r>
      <w:r w:rsidR="00113D8D" w:rsidRPr="007D6B6A">
        <w:rPr>
          <w:szCs w:val="22"/>
        </w:rPr>
        <w:t xml:space="preserve"> and entities that provide nonregulated services.</w:t>
      </w:r>
      <w:r w:rsidR="00113D8D" w:rsidRPr="005835D5">
        <w:rPr>
          <w:rStyle w:val="FootnoteReference"/>
          <w:szCs w:val="22"/>
        </w:rPr>
        <w:footnoteReference w:id="9"/>
      </w:r>
      <w:r w:rsidR="00113D8D" w:rsidRPr="007D6B6A">
        <w:rPr>
          <w:szCs w:val="22"/>
        </w:rPr>
        <w:t xml:space="preserve">  </w:t>
      </w:r>
      <w:r w:rsidR="00F900B8" w:rsidRPr="007F7B4B">
        <w:t xml:space="preserve">To calculate regulatory fees, the Commission allocates the total amount to be collected among the various regulatory fee categories.  </w:t>
      </w:r>
      <w:r w:rsidR="001B6501" w:rsidRPr="007D6B6A">
        <w:rPr>
          <w:szCs w:val="22"/>
        </w:rPr>
        <w:t>This allocation is based on the number of FTEs assigned to work in each regulatory fee category.  FTEs are categorized as “direct” if they are performing regulatory activities in one of the “core” bureaus, i.e., the Wireless Telecommunications</w:t>
      </w:r>
      <w:r w:rsidR="00542DD1" w:rsidRPr="007D6B6A">
        <w:rPr>
          <w:szCs w:val="22"/>
        </w:rPr>
        <w:t xml:space="preserve"> Bureau</w:t>
      </w:r>
      <w:r w:rsidR="001B6501" w:rsidRPr="007D6B6A">
        <w:rPr>
          <w:szCs w:val="22"/>
        </w:rPr>
        <w:t>, Media</w:t>
      </w:r>
      <w:r w:rsidR="00542DD1" w:rsidRPr="007D6B6A">
        <w:rPr>
          <w:szCs w:val="22"/>
        </w:rPr>
        <w:t xml:space="preserve"> Bureau</w:t>
      </w:r>
      <w:r w:rsidR="001B6501" w:rsidRPr="007D6B6A">
        <w:rPr>
          <w:szCs w:val="22"/>
        </w:rPr>
        <w:t>, Wireline Competition</w:t>
      </w:r>
      <w:r w:rsidR="00542DD1" w:rsidRPr="007D6B6A">
        <w:rPr>
          <w:szCs w:val="22"/>
        </w:rPr>
        <w:t xml:space="preserve"> Bureau</w:t>
      </w:r>
      <w:r w:rsidR="001B6501" w:rsidRPr="007D6B6A">
        <w:rPr>
          <w:szCs w:val="22"/>
        </w:rPr>
        <w:t xml:space="preserve">, and </w:t>
      </w:r>
      <w:r w:rsidR="00542DD1" w:rsidRPr="007D6B6A">
        <w:rPr>
          <w:szCs w:val="22"/>
        </w:rPr>
        <w:t>part of the International Bureau</w:t>
      </w:r>
      <w:r w:rsidR="001B6501" w:rsidRPr="007D6B6A">
        <w:rPr>
          <w:szCs w:val="22"/>
        </w:rPr>
        <w:t>.  All other FTEs are considered “indirect.”</w:t>
      </w:r>
      <w:r w:rsidR="00157B67" w:rsidRPr="007F7B4B">
        <w:rPr>
          <w:rStyle w:val="FootnoteReference"/>
          <w:szCs w:val="22"/>
        </w:rPr>
        <w:footnoteReference w:id="10"/>
      </w:r>
      <w:r w:rsidR="00157B67" w:rsidRPr="007F7B4B">
        <w:t xml:space="preserve"> </w:t>
      </w:r>
      <w:r w:rsidR="00157B67">
        <w:t xml:space="preserve"> </w:t>
      </w:r>
      <w:r w:rsidR="001B6501" w:rsidRPr="007D6B6A">
        <w:rPr>
          <w:szCs w:val="22"/>
        </w:rPr>
        <w:t xml:space="preserve">The total FTEs for each fee category is </w:t>
      </w:r>
      <w:r w:rsidR="00363A79">
        <w:rPr>
          <w:szCs w:val="22"/>
        </w:rPr>
        <w:t>calculated</w:t>
      </w:r>
      <w:r w:rsidR="001B6501" w:rsidRPr="007D6B6A">
        <w:rPr>
          <w:szCs w:val="22"/>
        </w:rPr>
        <w:t xml:space="preserve"> by counting the number of direct FTEs </w:t>
      </w:r>
      <w:r w:rsidR="000C06E3">
        <w:rPr>
          <w:szCs w:val="22"/>
        </w:rPr>
        <w:t>in the core bureau that regulates that category</w:t>
      </w:r>
      <w:r w:rsidR="001B6501" w:rsidRPr="007D6B6A">
        <w:rPr>
          <w:szCs w:val="22"/>
        </w:rPr>
        <w:t xml:space="preserve">, plus a proportional allocation of indirect FTEs.  </w:t>
      </w:r>
      <w:r w:rsidR="00363A79">
        <w:rPr>
          <w:szCs w:val="22"/>
        </w:rPr>
        <w:t>E</w:t>
      </w:r>
      <w:r w:rsidR="00F900B8" w:rsidRPr="007F7B4B">
        <w:t>ach regulatee within a fee category pays its proportionate share based on an objective measure</w:t>
      </w:r>
      <w:r w:rsidR="00F900B8" w:rsidRPr="005721F8">
        <w:t>, e.g.,</w:t>
      </w:r>
      <w:r w:rsidR="00F900B8" w:rsidRPr="007F7B4B">
        <w:t xml:space="preserve"> revenues, </w:t>
      </w:r>
      <w:r w:rsidR="00F529CA">
        <w:t xml:space="preserve">or number of </w:t>
      </w:r>
      <w:r w:rsidR="00F900B8" w:rsidRPr="007F7B4B">
        <w:t>subscribers or licenses.</w:t>
      </w:r>
      <w:r w:rsidR="0088462E" w:rsidRPr="007F7B4B">
        <w:rPr>
          <w:rStyle w:val="FootnoteReference"/>
          <w:szCs w:val="22"/>
        </w:rPr>
        <w:footnoteReference w:id="11"/>
      </w:r>
      <w:r w:rsidR="0088462E" w:rsidRPr="007F7B4B">
        <w:t xml:space="preserve"> </w:t>
      </w:r>
      <w:r w:rsidR="00F900B8" w:rsidRPr="007F7B4B">
        <w:t xml:space="preserve">  </w:t>
      </w:r>
    </w:p>
    <w:p w:rsidR="00D20747" w:rsidRDefault="00D20747" w:rsidP="00F15C95">
      <w:pPr>
        <w:pStyle w:val="ParaNum"/>
      </w:pPr>
      <w:r>
        <w:t xml:space="preserve">Section 9 </w:t>
      </w:r>
      <w:r w:rsidR="00C907E9">
        <w:t xml:space="preserve">of the Act </w:t>
      </w:r>
      <w:r>
        <w:t xml:space="preserve">requires the Commission to make certain changes to the regulatory fee schedule “if the Commission determines that the schedule requires amendment to comply with the requirements” of </w:t>
      </w:r>
      <w:r w:rsidR="00E92E2F">
        <w:t>section 9(b)(1)(A).</w:t>
      </w:r>
      <w:r w:rsidR="00E92E2F">
        <w:rPr>
          <w:rStyle w:val="FootnoteReference"/>
        </w:rPr>
        <w:footnoteReference w:id="12"/>
      </w:r>
      <w:r>
        <w:t xml:space="preserve"> </w:t>
      </w:r>
      <w:r w:rsidR="00C907E9">
        <w:t xml:space="preserve"> </w:t>
      </w:r>
      <w:r w:rsidR="009340D1">
        <w:t>The Commission is required, by rule, to revise regulatory fees by proportionate increases or decreases to reflect changes i</w:t>
      </w:r>
      <w:r w:rsidR="00383DFB">
        <w:t>n</w:t>
      </w:r>
      <w:r w:rsidR="009340D1">
        <w:t xml:space="preserve"> the amount appropriated for the performance of its regulatory activities.</w:t>
      </w:r>
      <w:r w:rsidR="009340D1">
        <w:rPr>
          <w:rStyle w:val="FootnoteReference"/>
        </w:rPr>
        <w:footnoteReference w:id="13"/>
      </w:r>
      <w:r w:rsidR="009340D1">
        <w:t xml:space="preserve">  </w:t>
      </w:r>
      <w:r>
        <w:t>The Commis</w:t>
      </w:r>
      <w:r w:rsidRPr="00E92E2F">
        <w:t>s</w:t>
      </w:r>
      <w:r>
        <w:t>ion must add, delete, or</w:t>
      </w:r>
      <w:r w:rsidRPr="00D20747">
        <w:t xml:space="preserve"> </w:t>
      </w:r>
      <w:r>
        <w:t xml:space="preserve">reclassify services in the fee schedule to reflect additions, deletions, or changes in the nature of its services “as a consequence of Commission rulemaking proceedings or changes in law.” </w:t>
      </w:r>
      <w:r w:rsidR="003B1697">
        <w:t xml:space="preserve"> </w:t>
      </w:r>
      <w:r>
        <w:t>These “permitted amendments” require Congressional notification</w:t>
      </w:r>
      <w:r w:rsidR="00FA7C40">
        <w:rPr>
          <w:rStyle w:val="FootnoteReference"/>
        </w:rPr>
        <w:footnoteReference w:id="14"/>
      </w:r>
      <w:r>
        <w:t xml:space="preserve"> </w:t>
      </w:r>
      <w:r w:rsidR="00490A8E">
        <w:t xml:space="preserve">before they may take effect </w:t>
      </w:r>
      <w:r>
        <w:t xml:space="preserve">and </w:t>
      </w:r>
      <w:r w:rsidR="00490A8E">
        <w:t xml:space="preserve">any </w:t>
      </w:r>
      <w:r>
        <w:t>resulting changes in fees are not subject to judicial review.</w:t>
      </w:r>
      <w:r w:rsidR="00C907E9">
        <w:rPr>
          <w:rStyle w:val="FootnoteReference"/>
        </w:rPr>
        <w:footnoteReference w:id="15"/>
      </w:r>
      <w:r>
        <w:t xml:space="preserve">  </w:t>
      </w:r>
    </w:p>
    <w:p w:rsidR="00FE6773" w:rsidRDefault="007B0474" w:rsidP="00F15C95">
      <w:pPr>
        <w:pStyle w:val="ParaNum"/>
      </w:pPr>
      <w:r>
        <w:t>We continue our efforts to examine areas where we can improve our regulatory fee process to better reflect changes in the industry and at the Commission</w:t>
      </w:r>
      <w:r w:rsidR="00490A8E">
        <w:t>,</w:t>
      </w:r>
      <w:r>
        <w:t xml:space="preserve"> and this Report and Order is another step in this process.  </w:t>
      </w:r>
      <w:r w:rsidR="007E2D1E">
        <w:t>The Commission</w:t>
      </w:r>
      <w:r w:rsidR="00745D9D" w:rsidRPr="007F7B4B">
        <w:t xml:space="preserve"> began </w:t>
      </w:r>
      <w:r w:rsidR="004B2DB8">
        <w:t>this</w:t>
      </w:r>
      <w:r w:rsidR="00F900B8">
        <w:t xml:space="preserve"> </w:t>
      </w:r>
      <w:r w:rsidR="00885EF3" w:rsidRPr="007F7B4B">
        <w:t>regulatory</w:t>
      </w:r>
      <w:r w:rsidR="00745D9D" w:rsidRPr="007F7B4B">
        <w:t xml:space="preserve"> fee reform analysis in the </w:t>
      </w:r>
      <w:r w:rsidR="00745D9D" w:rsidRPr="00AC121A">
        <w:rPr>
          <w:i/>
        </w:rPr>
        <w:t xml:space="preserve">FY 2008 </w:t>
      </w:r>
      <w:r w:rsidR="00745D9D" w:rsidRPr="00AC121A">
        <w:rPr>
          <w:i/>
        </w:rPr>
        <w:lastRenderedPageBreak/>
        <w:t>Furth</w:t>
      </w:r>
      <w:r w:rsidR="004B2DB8">
        <w:rPr>
          <w:i/>
        </w:rPr>
        <w:t>er Notice</w:t>
      </w:r>
      <w:r w:rsidR="00745D9D" w:rsidRPr="00AC121A">
        <w:rPr>
          <w:i/>
        </w:rPr>
        <w:t>.</w:t>
      </w:r>
      <w:r w:rsidR="00745D9D" w:rsidRPr="007F7B4B">
        <w:rPr>
          <w:rStyle w:val="FootnoteReference"/>
          <w:szCs w:val="22"/>
        </w:rPr>
        <w:footnoteReference w:id="16"/>
      </w:r>
      <w:r w:rsidR="00745D9D" w:rsidRPr="007F7B4B">
        <w:t xml:space="preserve">  </w:t>
      </w:r>
      <w:r w:rsidR="00D977E4">
        <w:t>R</w:t>
      </w:r>
      <w:r w:rsidR="00CC3C36">
        <w:t>egulatory fees cannot be precisely calibrated to the actual costs of the regulatory activities</w:t>
      </w:r>
      <w:r w:rsidR="00D977E4">
        <w:t>; however,</w:t>
      </w:r>
      <w:r w:rsidR="00CC3C36">
        <w:t xml:space="preserve"> there may be areas in which we can revise and improve the regulatory fee process.</w:t>
      </w:r>
      <w:r w:rsidR="00CC3C36">
        <w:rPr>
          <w:rStyle w:val="FootnoteReference"/>
        </w:rPr>
        <w:footnoteReference w:id="17"/>
      </w:r>
      <w:r w:rsidR="007E2D1E">
        <w:t xml:space="preserve">  </w:t>
      </w:r>
      <w:r w:rsidR="00D56E53">
        <w:t xml:space="preserve">In that proceeding, </w:t>
      </w:r>
      <w:r w:rsidR="007E2D1E">
        <w:t>the Commission</w:t>
      </w:r>
      <w:r w:rsidR="00B64EB2">
        <w:t xml:space="preserve"> sought comment on </w:t>
      </w:r>
      <w:r w:rsidR="00F713C5">
        <w:t xml:space="preserve">several issues, e.g., updating </w:t>
      </w:r>
      <w:r w:rsidR="00B64EB2">
        <w:t>FTE allocation</w:t>
      </w:r>
      <w:r w:rsidR="00B35BDC">
        <w:t>s</w:t>
      </w:r>
      <w:r w:rsidR="0076691C">
        <w:t>;</w:t>
      </w:r>
      <w:r w:rsidR="00447A0E">
        <w:rPr>
          <w:rStyle w:val="FootnoteReference"/>
          <w:szCs w:val="22"/>
        </w:rPr>
        <w:footnoteReference w:id="18"/>
      </w:r>
      <w:r w:rsidR="00B35BDC">
        <w:t xml:space="preserve"> </w:t>
      </w:r>
      <w:r w:rsidR="007E2D1E">
        <w:t>ITTA’s proposal to add</w:t>
      </w:r>
      <w:r w:rsidR="00447A0E">
        <w:t xml:space="preserve"> wireless providers to the </w:t>
      </w:r>
      <w:r w:rsidR="0076691C" w:rsidRPr="00A438CD">
        <w:t xml:space="preserve">Interstate Telecommunications Service Providers </w:t>
      </w:r>
      <w:r w:rsidR="0076691C">
        <w:t>(</w:t>
      </w:r>
      <w:r w:rsidR="00B35BDC">
        <w:t>ITSP</w:t>
      </w:r>
      <w:r w:rsidR="0076691C">
        <w:t>) category</w:t>
      </w:r>
      <w:r w:rsidR="0097498B">
        <w:t xml:space="preserve">, which includes </w:t>
      </w:r>
      <w:r w:rsidR="0039331A" w:rsidRPr="00C5052D">
        <w:rPr>
          <w:spacing w:val="-2"/>
          <w:szCs w:val="22"/>
        </w:rPr>
        <w:t>interexchange carriers (IXCs), incumbent local exchange carriers (LECs), toll resellers, and other IXC service providers</w:t>
      </w:r>
      <w:r w:rsidR="0039331A" w:rsidRPr="002D3820">
        <w:rPr>
          <w:szCs w:val="22"/>
        </w:rPr>
        <w:t xml:space="preserve"> regulated by the Wireline Competition Bureau</w:t>
      </w:r>
      <w:r w:rsidR="0076691C">
        <w:t>;</w:t>
      </w:r>
      <w:r w:rsidR="00B35BDC">
        <w:rPr>
          <w:rStyle w:val="FootnoteReference"/>
          <w:szCs w:val="22"/>
        </w:rPr>
        <w:footnoteReference w:id="19"/>
      </w:r>
      <w:r w:rsidR="00B35BDC">
        <w:t xml:space="preserve"> adding a category for </w:t>
      </w:r>
      <w:r w:rsidR="0076691C" w:rsidRPr="00A438CD">
        <w:t xml:space="preserve">Internet Protocol TV </w:t>
      </w:r>
      <w:r w:rsidR="0076691C">
        <w:t>(</w:t>
      </w:r>
      <w:r w:rsidR="00B35BDC">
        <w:t>IPTV</w:t>
      </w:r>
      <w:r w:rsidR="0076691C">
        <w:t>);</w:t>
      </w:r>
      <w:r w:rsidR="00B35BDC">
        <w:rPr>
          <w:rStyle w:val="FootnoteReference"/>
          <w:szCs w:val="22"/>
        </w:rPr>
        <w:footnoteReference w:id="20"/>
      </w:r>
      <w:r w:rsidR="00B35BDC">
        <w:t xml:space="preserve"> and adopting a per-subscriber fee for </w:t>
      </w:r>
      <w:r w:rsidR="004540E1" w:rsidRPr="00AC121A">
        <w:rPr>
          <w:szCs w:val="22"/>
        </w:rPr>
        <w:t>direct broadcast satellite (</w:t>
      </w:r>
      <w:r w:rsidR="00B35BDC">
        <w:t>DBS</w:t>
      </w:r>
      <w:r w:rsidR="004540E1">
        <w:t>)</w:t>
      </w:r>
      <w:r w:rsidR="00B35BDC">
        <w:t>.</w:t>
      </w:r>
      <w:r w:rsidR="00B35BDC">
        <w:rPr>
          <w:rStyle w:val="FootnoteReference"/>
          <w:szCs w:val="22"/>
        </w:rPr>
        <w:footnoteReference w:id="21"/>
      </w:r>
      <w:r w:rsidR="00B35BDC">
        <w:t xml:space="preserve">  </w:t>
      </w:r>
      <w:r w:rsidR="00AC121A">
        <w:t>I</w:t>
      </w:r>
      <w:r w:rsidR="00745D9D" w:rsidRPr="00AC121A">
        <w:rPr>
          <w:szCs w:val="22"/>
        </w:rPr>
        <w:t xml:space="preserve">n </w:t>
      </w:r>
      <w:r w:rsidR="00383DFB">
        <w:rPr>
          <w:szCs w:val="22"/>
        </w:rPr>
        <w:t xml:space="preserve">its </w:t>
      </w:r>
      <w:r w:rsidR="00745D9D" w:rsidRPr="00AC121A">
        <w:rPr>
          <w:szCs w:val="22"/>
        </w:rPr>
        <w:t xml:space="preserve">2012 report on the Commission’s regulatory fee program the Government Accountability Office </w:t>
      </w:r>
      <w:r w:rsidR="008F643A">
        <w:rPr>
          <w:szCs w:val="22"/>
        </w:rPr>
        <w:t xml:space="preserve">(GAO) </w:t>
      </w:r>
      <w:r w:rsidR="00BD62E9">
        <w:rPr>
          <w:szCs w:val="22"/>
        </w:rPr>
        <w:t>encouraged</w:t>
      </w:r>
      <w:r w:rsidR="00F74391">
        <w:rPr>
          <w:szCs w:val="22"/>
        </w:rPr>
        <w:t xml:space="preserve"> </w:t>
      </w:r>
      <w:r w:rsidR="00383DFB">
        <w:rPr>
          <w:szCs w:val="22"/>
        </w:rPr>
        <w:t xml:space="preserve">the Commission to </w:t>
      </w:r>
      <w:r w:rsidR="00F74391">
        <w:rPr>
          <w:szCs w:val="22"/>
        </w:rPr>
        <w:t>updat</w:t>
      </w:r>
      <w:r w:rsidR="00383DFB">
        <w:rPr>
          <w:szCs w:val="22"/>
        </w:rPr>
        <w:t>e</w:t>
      </w:r>
      <w:r w:rsidR="00F74391">
        <w:rPr>
          <w:szCs w:val="22"/>
        </w:rPr>
        <w:t xml:space="preserve"> the FTE allocations to better </w:t>
      </w:r>
      <w:r w:rsidR="00745D9D" w:rsidRPr="00AC121A">
        <w:rPr>
          <w:szCs w:val="22"/>
        </w:rPr>
        <w:t xml:space="preserve">align regulatory fees </w:t>
      </w:r>
      <w:r w:rsidR="00F74391">
        <w:rPr>
          <w:szCs w:val="22"/>
        </w:rPr>
        <w:t>w</w:t>
      </w:r>
      <w:r w:rsidR="00745D9D" w:rsidRPr="00AC121A">
        <w:rPr>
          <w:szCs w:val="22"/>
        </w:rPr>
        <w:t>ith regulatory costs.</w:t>
      </w:r>
      <w:r w:rsidR="00745D9D" w:rsidRPr="007F7B4B">
        <w:rPr>
          <w:rStyle w:val="FootnoteReference"/>
          <w:szCs w:val="22"/>
        </w:rPr>
        <w:footnoteReference w:id="22"/>
      </w:r>
      <w:r w:rsidR="00745D9D" w:rsidRPr="00AC121A">
        <w:rPr>
          <w:szCs w:val="22"/>
        </w:rPr>
        <w:t xml:space="preserve">  </w:t>
      </w:r>
      <w:bookmarkStart w:id="17" w:name="_Toc353987718"/>
      <w:r w:rsidR="0099317F">
        <w:rPr>
          <w:szCs w:val="22"/>
        </w:rPr>
        <w:t xml:space="preserve">In </w:t>
      </w:r>
      <w:r w:rsidR="007E2D1E">
        <w:rPr>
          <w:szCs w:val="22"/>
        </w:rPr>
        <w:t>the</w:t>
      </w:r>
      <w:r w:rsidR="0099317F">
        <w:rPr>
          <w:szCs w:val="22"/>
        </w:rPr>
        <w:t xml:space="preserve"> </w:t>
      </w:r>
      <w:r w:rsidR="0099317F" w:rsidRPr="007A0C9E">
        <w:rPr>
          <w:i/>
          <w:szCs w:val="22"/>
        </w:rPr>
        <w:t xml:space="preserve">FY 2012 </w:t>
      </w:r>
      <w:r w:rsidR="007A0C9E" w:rsidRPr="007A0C9E">
        <w:rPr>
          <w:i/>
          <w:szCs w:val="22"/>
        </w:rPr>
        <w:t>NPRM</w:t>
      </w:r>
      <w:r w:rsidR="0099317F">
        <w:rPr>
          <w:szCs w:val="22"/>
        </w:rPr>
        <w:t xml:space="preserve"> </w:t>
      </w:r>
      <w:r w:rsidR="007E2D1E">
        <w:rPr>
          <w:rStyle w:val="FootnoteReference"/>
          <w:szCs w:val="22"/>
        </w:rPr>
        <w:footnoteReference w:id="23"/>
      </w:r>
      <w:r w:rsidR="00DF36FB">
        <w:rPr>
          <w:szCs w:val="22"/>
        </w:rPr>
        <w:t xml:space="preserve"> </w:t>
      </w:r>
      <w:r w:rsidR="007E2D1E">
        <w:rPr>
          <w:szCs w:val="22"/>
        </w:rPr>
        <w:t xml:space="preserve">and the </w:t>
      </w:r>
      <w:r w:rsidR="007E2D1E" w:rsidRPr="007E2D1E">
        <w:rPr>
          <w:i/>
          <w:szCs w:val="22"/>
        </w:rPr>
        <w:t>FY 2013 NPRM</w:t>
      </w:r>
      <w:r w:rsidR="007E2D1E">
        <w:rPr>
          <w:szCs w:val="22"/>
        </w:rPr>
        <w:t xml:space="preserve"> </w:t>
      </w:r>
      <w:r w:rsidR="007E2D1E">
        <w:rPr>
          <w:rStyle w:val="FootnoteReference"/>
        </w:rPr>
        <w:footnoteReference w:id="24"/>
      </w:r>
      <w:r w:rsidR="00DF36FB">
        <w:rPr>
          <w:szCs w:val="22"/>
        </w:rPr>
        <w:t xml:space="preserve"> </w:t>
      </w:r>
      <w:r w:rsidR="007E2D1E">
        <w:rPr>
          <w:szCs w:val="22"/>
        </w:rPr>
        <w:t>the Commission</w:t>
      </w:r>
      <w:r w:rsidR="0099317F">
        <w:rPr>
          <w:szCs w:val="22"/>
        </w:rPr>
        <w:t xml:space="preserve"> </w:t>
      </w:r>
      <w:r w:rsidR="0076691C">
        <w:rPr>
          <w:szCs w:val="22"/>
        </w:rPr>
        <w:t xml:space="preserve">also </w:t>
      </w:r>
      <w:r w:rsidR="0099317F">
        <w:rPr>
          <w:szCs w:val="22"/>
        </w:rPr>
        <w:t>sought comment on revising the FTE allocations</w:t>
      </w:r>
      <w:r w:rsidR="00E813B3">
        <w:rPr>
          <w:szCs w:val="22"/>
        </w:rPr>
        <w:t>;</w:t>
      </w:r>
      <w:r w:rsidR="0099317F">
        <w:rPr>
          <w:szCs w:val="22"/>
        </w:rPr>
        <w:t xml:space="preserve"> and i</w:t>
      </w:r>
      <w:r w:rsidR="00804591">
        <w:t>n</w:t>
      </w:r>
      <w:r w:rsidR="001144AB" w:rsidRPr="007F7B4B">
        <w:t xml:space="preserve"> the </w:t>
      </w:r>
      <w:r w:rsidR="00F900B8" w:rsidRPr="003809F0">
        <w:rPr>
          <w:i/>
        </w:rPr>
        <w:t>FY 2013</w:t>
      </w:r>
      <w:r w:rsidR="00F900B8" w:rsidRPr="00AC121A">
        <w:rPr>
          <w:i/>
        </w:rPr>
        <w:t xml:space="preserve"> </w:t>
      </w:r>
      <w:r w:rsidR="003809F0">
        <w:rPr>
          <w:i/>
        </w:rPr>
        <w:t xml:space="preserve">Report and Order </w:t>
      </w:r>
      <w:r w:rsidR="00AC121A">
        <w:t xml:space="preserve">we </w:t>
      </w:r>
      <w:r w:rsidR="00023049">
        <w:t xml:space="preserve">adopted </w:t>
      </w:r>
      <w:r w:rsidR="00AC121A">
        <w:t xml:space="preserve">updated FTE allocations to more accurately reflect the number of FTEs working on regulation and oversight of the </w:t>
      </w:r>
      <w:r w:rsidR="0054386C">
        <w:t xml:space="preserve">regulatees </w:t>
      </w:r>
      <w:r w:rsidR="00AC121A">
        <w:t>in the</w:t>
      </w:r>
      <w:r w:rsidR="0054386C">
        <w:t xml:space="preserve"> various </w:t>
      </w:r>
      <w:r w:rsidR="00AC121A">
        <w:t>fee categories;</w:t>
      </w:r>
      <w:r w:rsidR="00541B78">
        <w:rPr>
          <w:rStyle w:val="FootnoteReference"/>
        </w:rPr>
        <w:footnoteReference w:id="25"/>
      </w:r>
      <w:r w:rsidR="00AC121A">
        <w:t xml:space="preserve"> we</w:t>
      </w:r>
      <w:r w:rsidR="007A0C9E">
        <w:t xml:space="preserve"> also</w:t>
      </w:r>
      <w:r w:rsidR="00AC121A">
        <w:t xml:space="preserve"> combined the UHF and VHF television stations into one regulatory fee category</w:t>
      </w:r>
      <w:r w:rsidR="00C302DE">
        <w:t>,</w:t>
      </w:r>
      <w:r w:rsidR="00541B78">
        <w:rPr>
          <w:rStyle w:val="FootnoteReference"/>
        </w:rPr>
        <w:footnoteReference w:id="26"/>
      </w:r>
      <w:r w:rsidR="00AC121A">
        <w:t xml:space="preserve"> </w:t>
      </w:r>
      <w:r w:rsidR="00023049">
        <w:t xml:space="preserve">and </w:t>
      </w:r>
      <w:r w:rsidR="00AC121A">
        <w:t xml:space="preserve">created a </w:t>
      </w:r>
      <w:r w:rsidR="0013213F">
        <w:t>fee</w:t>
      </w:r>
      <w:r w:rsidR="00AC121A">
        <w:t xml:space="preserve"> category </w:t>
      </w:r>
      <w:r w:rsidR="0013213F">
        <w:t xml:space="preserve">to include </w:t>
      </w:r>
      <w:r w:rsidR="004E438E">
        <w:t>IPTV</w:t>
      </w:r>
      <w:r w:rsidR="00023049">
        <w:t>.</w:t>
      </w:r>
      <w:r w:rsidR="00023049">
        <w:rPr>
          <w:rStyle w:val="FootnoteReference"/>
        </w:rPr>
        <w:footnoteReference w:id="27"/>
      </w:r>
      <w:r w:rsidR="001144AB" w:rsidRPr="007F7B4B">
        <w:t xml:space="preserve">  </w:t>
      </w:r>
      <w:bookmarkEnd w:id="17"/>
      <w:r w:rsidR="004777BD" w:rsidRPr="007F7B4B">
        <w:t xml:space="preserve">  </w:t>
      </w:r>
    </w:p>
    <w:p w:rsidR="009C5B9B" w:rsidRDefault="00790AEB" w:rsidP="00F15C95">
      <w:pPr>
        <w:pStyle w:val="ParaNum"/>
      </w:pPr>
      <w:r>
        <w:t xml:space="preserve">In our </w:t>
      </w:r>
      <w:r w:rsidRPr="00A50CDF">
        <w:rPr>
          <w:i/>
        </w:rPr>
        <w:t>FY 2014 NPRM</w:t>
      </w:r>
      <w:r>
        <w:t xml:space="preserve">, we sought </w:t>
      </w:r>
      <w:r w:rsidR="0018365B">
        <w:t xml:space="preserve">comment on </w:t>
      </w:r>
      <w:r>
        <w:t xml:space="preserve">proposed </w:t>
      </w:r>
      <w:r w:rsidR="0018365B">
        <w:t xml:space="preserve">regulatory fees and on whether </w:t>
      </w:r>
      <w:r w:rsidR="0018365B" w:rsidRPr="00F974C9">
        <w:t xml:space="preserve">AM expanded band radio stations </w:t>
      </w:r>
      <w:r w:rsidR="0018365B">
        <w:t xml:space="preserve">should remain </w:t>
      </w:r>
      <w:r w:rsidR="0018365B" w:rsidRPr="00F974C9">
        <w:t>exempt from regulatory fees</w:t>
      </w:r>
      <w:r w:rsidR="0018365B">
        <w:t xml:space="preserve">.  In addition, we </w:t>
      </w:r>
      <w:r>
        <w:t>sought c</w:t>
      </w:r>
      <w:r w:rsidR="0018365B" w:rsidRPr="00A438CD">
        <w:t xml:space="preserve">omment on </w:t>
      </w:r>
      <w:r w:rsidR="0018365B">
        <w:t xml:space="preserve">additional </w:t>
      </w:r>
      <w:r w:rsidR="0018365B" w:rsidRPr="00A438CD">
        <w:t>reform</w:t>
      </w:r>
      <w:r w:rsidR="0018365B">
        <w:t xml:space="preserve"> measures includ</w:t>
      </w:r>
      <w:r>
        <w:t>ing</w:t>
      </w:r>
      <w:r w:rsidR="0018365B" w:rsidRPr="00A438CD">
        <w:t xml:space="preserve">: </w:t>
      </w:r>
      <w:r w:rsidR="00BD62E9">
        <w:t xml:space="preserve"> (1) </w:t>
      </w:r>
      <w:r w:rsidR="0018365B" w:rsidRPr="00A438CD">
        <w:t>reallocat</w:t>
      </w:r>
      <w:r w:rsidR="0018365B">
        <w:t>ing</w:t>
      </w:r>
      <w:r w:rsidR="0018365B" w:rsidRPr="00A438CD">
        <w:t xml:space="preserve"> </w:t>
      </w:r>
      <w:r w:rsidR="0018365B">
        <w:t xml:space="preserve">some of the </w:t>
      </w:r>
      <w:r w:rsidR="0018365B" w:rsidRPr="00A438CD">
        <w:t>FTEs from the Enforcement Bureau</w:t>
      </w:r>
      <w:r w:rsidR="0018365B">
        <w:t xml:space="preserve">, </w:t>
      </w:r>
      <w:r w:rsidR="0018365B" w:rsidRPr="00A438CD">
        <w:t>the Consumer &amp; Governmental Affairs Bureau</w:t>
      </w:r>
      <w:r w:rsidR="0018365B">
        <w:t xml:space="preserve">, and the Office of </w:t>
      </w:r>
      <w:r>
        <w:t>Engineering and Technology</w:t>
      </w:r>
      <w:r w:rsidR="0018365B">
        <w:t>,</w:t>
      </w:r>
      <w:r w:rsidR="0018365B" w:rsidRPr="00A438CD">
        <w:t xml:space="preserve"> </w:t>
      </w:r>
      <w:r w:rsidR="0018365B">
        <w:t>as direct FTEs for regulatory fee purposes</w:t>
      </w:r>
      <w:r w:rsidR="0018365B" w:rsidRPr="00A438CD">
        <w:t>;</w:t>
      </w:r>
      <w:r w:rsidR="0018365B">
        <w:t xml:space="preserve"> </w:t>
      </w:r>
      <w:r w:rsidR="00BD62E9">
        <w:t xml:space="preserve">(2) </w:t>
      </w:r>
      <w:r w:rsidR="0018365B">
        <w:t>reapportioning the fee allocations</w:t>
      </w:r>
      <w:r w:rsidR="0018365B" w:rsidRPr="00F92838">
        <w:t xml:space="preserve"> between groups of </w:t>
      </w:r>
      <w:r w:rsidR="0018365B">
        <w:t>International Bureau</w:t>
      </w:r>
      <w:r w:rsidR="0018365B" w:rsidRPr="00F92838">
        <w:t xml:space="preserve"> </w:t>
      </w:r>
      <w:r w:rsidR="0018365B">
        <w:t>regulatees;</w:t>
      </w:r>
      <w:r w:rsidR="0018365B" w:rsidRPr="00A438CD">
        <w:t xml:space="preserve"> </w:t>
      </w:r>
      <w:r w:rsidR="00BD62E9">
        <w:t xml:space="preserve">(3) </w:t>
      </w:r>
      <w:r w:rsidR="0018365B">
        <w:t>p</w:t>
      </w:r>
      <w:r w:rsidR="0018365B" w:rsidRPr="00A438CD">
        <w:t xml:space="preserve">eriodically </w:t>
      </w:r>
      <w:r w:rsidR="0018365B">
        <w:t>updating</w:t>
      </w:r>
      <w:r w:rsidR="0018365B" w:rsidRPr="00A438CD">
        <w:t xml:space="preserve"> </w:t>
      </w:r>
      <w:r w:rsidR="0018365B">
        <w:t xml:space="preserve">FTE </w:t>
      </w:r>
      <w:r w:rsidR="0018365B" w:rsidRPr="00A438CD">
        <w:t xml:space="preserve">allocations; </w:t>
      </w:r>
      <w:r w:rsidR="00BD62E9">
        <w:t xml:space="preserve">(4) </w:t>
      </w:r>
      <w:r w:rsidR="0018365B">
        <w:t xml:space="preserve">applying a cap on any regulatory fee increases for FY 2014; </w:t>
      </w:r>
      <w:r w:rsidR="00BD62E9">
        <w:t xml:space="preserve">(5) </w:t>
      </w:r>
      <w:r w:rsidR="0018365B" w:rsidRPr="00A438CD">
        <w:t>improv</w:t>
      </w:r>
      <w:r w:rsidR="0018365B">
        <w:t>ing</w:t>
      </w:r>
      <w:r w:rsidR="0018365B" w:rsidRPr="00A438CD">
        <w:t xml:space="preserve"> access to </w:t>
      </w:r>
      <w:r w:rsidR="0018365B">
        <w:t xml:space="preserve">information through our website; </w:t>
      </w:r>
      <w:r w:rsidR="00BD62E9">
        <w:t xml:space="preserve">(6) </w:t>
      </w:r>
      <w:r w:rsidR="0018365B">
        <w:t xml:space="preserve">establishing a higher de minimis </w:t>
      </w:r>
      <w:r w:rsidR="000C06E3">
        <w:t>threshold</w:t>
      </w:r>
      <w:r w:rsidR="0018365B">
        <w:t xml:space="preserve">; </w:t>
      </w:r>
      <w:r w:rsidR="00BD62E9">
        <w:t xml:space="preserve">(7) </w:t>
      </w:r>
      <w:r w:rsidR="0018365B">
        <w:t xml:space="preserve">eliminating certain regulatory fee categories; </w:t>
      </w:r>
      <w:r w:rsidR="008F643A">
        <w:t xml:space="preserve">(8) </w:t>
      </w:r>
      <w:r w:rsidR="0018365B">
        <w:t>combining</w:t>
      </w:r>
      <w:r w:rsidR="0018365B" w:rsidRPr="00A438CD">
        <w:t xml:space="preserve"> ITSP and wireless voice services into one fee category; </w:t>
      </w:r>
      <w:r w:rsidR="00BD62E9">
        <w:t>(</w:t>
      </w:r>
      <w:r w:rsidR="008F643A">
        <w:t>9</w:t>
      </w:r>
      <w:r w:rsidR="00BD62E9">
        <w:t xml:space="preserve">) </w:t>
      </w:r>
      <w:r w:rsidR="0018365B">
        <w:t xml:space="preserve">adding </w:t>
      </w:r>
      <w:r w:rsidR="0018365B" w:rsidRPr="00A438CD">
        <w:t xml:space="preserve">DBS </w:t>
      </w:r>
      <w:r w:rsidR="0018365B">
        <w:t>operators to the cable television and IPTV category</w:t>
      </w:r>
      <w:r w:rsidR="0018365B" w:rsidRPr="00A438CD">
        <w:t>;</w:t>
      </w:r>
      <w:r w:rsidR="0018365B">
        <w:t xml:space="preserve"> </w:t>
      </w:r>
      <w:r w:rsidR="008F643A">
        <w:t xml:space="preserve">(10) </w:t>
      </w:r>
      <w:r w:rsidR="0018365B" w:rsidRPr="00A438CD">
        <w:t>creat</w:t>
      </w:r>
      <w:r w:rsidR="0018365B">
        <w:t>ing</w:t>
      </w:r>
      <w:r w:rsidR="0018365B" w:rsidRPr="00A438CD">
        <w:t xml:space="preserve"> a new regulatory fee category for non-U.S. licensed space stations</w:t>
      </w:r>
      <w:r w:rsidR="0018365B">
        <w:t xml:space="preserve">, or, alternatively, reallocating some FTEs assigned to work on non-U.S. licensed space station </w:t>
      </w:r>
      <w:r w:rsidR="0018365B">
        <w:lastRenderedPageBreak/>
        <w:t xml:space="preserve">issues as indirect for regulatory fee purposes; and </w:t>
      </w:r>
      <w:r w:rsidR="008F643A">
        <w:t>(11</w:t>
      </w:r>
      <w:r w:rsidR="00BD62E9">
        <w:t xml:space="preserve">) </w:t>
      </w:r>
      <w:r w:rsidR="0018365B">
        <w:t>adding a new regulatory fee category for toll free numbers.</w:t>
      </w:r>
      <w:r w:rsidR="003657F8">
        <w:t xml:space="preserve">  </w:t>
      </w:r>
      <w:r w:rsidR="00015884">
        <w:t xml:space="preserve">Some of these issues had been raised in earlier regulatory fee proceedings and other issues were discussed for the first time as part of our reform process.  </w:t>
      </w:r>
      <w:r w:rsidR="00472FC9">
        <w:t xml:space="preserve">We received 19 </w:t>
      </w:r>
      <w:r w:rsidR="00015884">
        <w:t xml:space="preserve">comments </w:t>
      </w:r>
      <w:r w:rsidR="00472FC9">
        <w:t xml:space="preserve">(some of which are joint comments) </w:t>
      </w:r>
      <w:r w:rsidR="00015884">
        <w:t xml:space="preserve">and </w:t>
      </w:r>
      <w:r w:rsidR="008C1121">
        <w:t>six</w:t>
      </w:r>
      <w:r w:rsidR="00015884">
        <w:t xml:space="preserve"> reply comments.  </w:t>
      </w:r>
      <w:r w:rsidR="0090094D">
        <w:t>Appendix</w:t>
      </w:r>
      <w:r w:rsidR="003657F8">
        <w:t xml:space="preserve"> </w:t>
      </w:r>
      <w:r w:rsidR="007678EE">
        <w:t xml:space="preserve">A </w:t>
      </w:r>
      <w:r w:rsidR="003657F8">
        <w:t>is a list of the commenters in this proceeding.</w:t>
      </w:r>
    </w:p>
    <w:p w:rsidR="004661B3" w:rsidRDefault="004661B3" w:rsidP="004A5231">
      <w:pPr>
        <w:pStyle w:val="Heading1"/>
        <w:widowControl/>
        <w:rPr>
          <w:rFonts w:ascii="Times New Roman" w:hAnsi="Times New Roman"/>
          <w:szCs w:val="22"/>
        </w:rPr>
      </w:pPr>
      <w:bookmarkStart w:id="18" w:name="_Toc390878797"/>
      <w:bookmarkStart w:id="19" w:name="_Toc394672301"/>
      <w:bookmarkStart w:id="20" w:name="_Toc397078313"/>
      <w:r w:rsidRPr="007F7B4B">
        <w:rPr>
          <w:rFonts w:ascii="Times New Roman" w:hAnsi="Times New Roman"/>
          <w:szCs w:val="22"/>
        </w:rPr>
        <w:t>discu</w:t>
      </w:r>
      <w:r>
        <w:rPr>
          <w:rFonts w:ascii="Times New Roman" w:hAnsi="Times New Roman"/>
          <w:szCs w:val="22"/>
        </w:rPr>
        <w:t>S</w:t>
      </w:r>
      <w:r w:rsidRPr="007F7B4B">
        <w:rPr>
          <w:rFonts w:ascii="Times New Roman" w:hAnsi="Times New Roman"/>
          <w:szCs w:val="22"/>
        </w:rPr>
        <w:t>sion</w:t>
      </w:r>
      <w:bookmarkEnd w:id="18"/>
      <w:bookmarkEnd w:id="19"/>
      <w:bookmarkEnd w:id="20"/>
    </w:p>
    <w:p w:rsidR="00F462E1" w:rsidRDefault="00F462E1" w:rsidP="00021D5D">
      <w:pPr>
        <w:pStyle w:val="Heading2"/>
      </w:pPr>
      <w:bookmarkStart w:id="21" w:name="_Toc390878798"/>
      <w:bookmarkStart w:id="22" w:name="_Toc394672302"/>
      <w:bookmarkStart w:id="23" w:name="_Toc397078314"/>
      <w:bookmarkEnd w:id="21"/>
      <w:r>
        <w:t>AM Expanded Band Radio Stations</w:t>
      </w:r>
      <w:bookmarkEnd w:id="22"/>
      <w:bookmarkEnd w:id="23"/>
    </w:p>
    <w:p w:rsidR="00B544C1" w:rsidRDefault="002D16CE" w:rsidP="004A5231">
      <w:pPr>
        <w:pStyle w:val="ParaNum"/>
        <w:widowControl/>
      </w:pPr>
      <w:r w:rsidRPr="002D16CE">
        <w:t>Licensees operat</w:t>
      </w:r>
      <w:r w:rsidR="00883514">
        <w:t>ing</w:t>
      </w:r>
      <w:r w:rsidRPr="002D16CE">
        <w:t xml:space="preserve"> a standard band AM station (540-1600 kHz) linked </w:t>
      </w:r>
      <w:r w:rsidR="00383F9D">
        <w:t xml:space="preserve">to an AM </w:t>
      </w:r>
      <w:r w:rsidR="003B1EC0">
        <w:t>e</w:t>
      </w:r>
      <w:r w:rsidR="00383F9D">
        <w:t xml:space="preserve">xpanded </w:t>
      </w:r>
      <w:r w:rsidR="003B1EC0">
        <w:t>b</w:t>
      </w:r>
      <w:r w:rsidR="00383F9D">
        <w:t xml:space="preserve">and station </w:t>
      </w:r>
      <w:r w:rsidR="000E3F1B">
        <w:t xml:space="preserve">(1605-1705 kHz) </w:t>
      </w:r>
      <w:r w:rsidR="00883514">
        <w:t>are</w:t>
      </w:r>
      <w:r w:rsidRPr="002D16CE">
        <w:t xml:space="preserve"> subject to regulatory fees for the standard band station only.</w:t>
      </w:r>
      <w:r w:rsidR="000E3F1B">
        <w:rPr>
          <w:rStyle w:val="FootnoteReference"/>
        </w:rPr>
        <w:footnoteReference w:id="28"/>
      </w:r>
      <w:r w:rsidR="00383F9D">
        <w:t xml:space="preserve">  </w:t>
      </w:r>
      <w:r w:rsidR="00883514">
        <w:t>T</w:t>
      </w:r>
      <w:r w:rsidR="00383F9D">
        <w:t xml:space="preserve">he Commission decided </w:t>
      </w:r>
      <w:r w:rsidR="00EE5B23">
        <w:t xml:space="preserve">not to require section 9 regulatory fee payments for AM </w:t>
      </w:r>
      <w:r w:rsidR="003B1EC0">
        <w:t>e</w:t>
      </w:r>
      <w:r w:rsidR="00EE5B23">
        <w:t xml:space="preserve">xpanded </w:t>
      </w:r>
      <w:r w:rsidR="003B1EC0">
        <w:t>b</w:t>
      </w:r>
      <w:r w:rsidR="00EE5B23">
        <w:t>and stations</w:t>
      </w:r>
      <w:r w:rsidR="0027557E">
        <w:t xml:space="preserve"> to encourage t</w:t>
      </w:r>
      <w:r w:rsidR="00EE5B23">
        <w:t xml:space="preserve">he movement to the expanded band </w:t>
      </w:r>
      <w:r w:rsidR="0027557E">
        <w:t>and</w:t>
      </w:r>
      <w:r w:rsidR="00EE5B23">
        <w:t xml:space="preserve"> reduce interference in the standard band</w:t>
      </w:r>
      <w:r w:rsidR="0027557E">
        <w:t>.</w:t>
      </w:r>
      <w:r w:rsidR="00883514" w:rsidRPr="00883514">
        <w:rPr>
          <w:rStyle w:val="FootnoteReference"/>
        </w:rPr>
        <w:t xml:space="preserve"> </w:t>
      </w:r>
      <w:r w:rsidR="00883514">
        <w:rPr>
          <w:rStyle w:val="FootnoteReference"/>
        </w:rPr>
        <w:footnoteReference w:id="29"/>
      </w:r>
      <w:r w:rsidR="00883514">
        <w:t xml:space="preserve"> </w:t>
      </w:r>
      <w:r w:rsidR="008F643A">
        <w:t xml:space="preserve"> </w:t>
      </w:r>
      <w:r w:rsidR="00883514">
        <w:t>In doing so, t</w:t>
      </w:r>
      <w:r w:rsidR="0027557E">
        <w:t>he Commission</w:t>
      </w:r>
      <w:r w:rsidR="00883514">
        <w:t xml:space="preserve"> determined </w:t>
      </w:r>
      <w:r w:rsidR="0027557E">
        <w:t xml:space="preserve">that </w:t>
      </w:r>
      <w:r w:rsidR="00EE5B23" w:rsidRPr="00EE5B23">
        <w:t xml:space="preserve">at some future point </w:t>
      </w:r>
      <w:r w:rsidR="003A48D9" w:rsidRPr="00EE5B23">
        <w:t xml:space="preserve">we </w:t>
      </w:r>
      <w:r w:rsidR="003A48D9">
        <w:t>might</w:t>
      </w:r>
      <w:r w:rsidR="0054386C">
        <w:t xml:space="preserve"> </w:t>
      </w:r>
      <w:r w:rsidR="00532083">
        <w:t>impose</w:t>
      </w:r>
      <w:r w:rsidR="00EE5B23" w:rsidRPr="00EE5B23">
        <w:t xml:space="preserve"> section 9 regulatory fee requirements for AM </w:t>
      </w:r>
      <w:r w:rsidR="003B1EC0">
        <w:t>e</w:t>
      </w:r>
      <w:r w:rsidR="00EE5B23" w:rsidRPr="00EE5B23">
        <w:t xml:space="preserve">xpanded </w:t>
      </w:r>
      <w:r w:rsidR="003B1EC0">
        <w:t>b</w:t>
      </w:r>
      <w:r w:rsidR="00EE5B23" w:rsidRPr="00EE5B23">
        <w:t>and stations</w:t>
      </w:r>
      <w:r w:rsidR="0027557E">
        <w:t>.</w:t>
      </w:r>
      <w:r w:rsidR="0027557E">
        <w:rPr>
          <w:rStyle w:val="FootnoteReference"/>
        </w:rPr>
        <w:footnoteReference w:id="30"/>
      </w:r>
      <w:r w:rsidR="00D2454F">
        <w:t xml:space="preserve">  </w:t>
      </w:r>
      <w:r w:rsidR="0009277E">
        <w:t xml:space="preserve">In the </w:t>
      </w:r>
      <w:r w:rsidR="0009277E" w:rsidRPr="00D2454F">
        <w:rPr>
          <w:i/>
        </w:rPr>
        <w:t>FY 2008 FNPRM</w:t>
      </w:r>
      <w:r w:rsidR="0009277E">
        <w:t>, the Commission stated that “[t]here is no compelling reason to permanently exempt AM expanded band licensees from paying regulatory fees.  As a general matter, it would be appropriate to treat the AM expanded band and the AM standard band similarly for regulatory fee purposes.”</w:t>
      </w:r>
      <w:r w:rsidR="0009277E">
        <w:rPr>
          <w:rStyle w:val="FootnoteReference"/>
          <w:sz w:val="24"/>
          <w:szCs w:val="24"/>
        </w:rPr>
        <w:footnoteReference w:id="31"/>
      </w:r>
      <w:r w:rsidR="0009277E">
        <w:t xml:space="preserve">  </w:t>
      </w:r>
      <w:r w:rsidR="003B1EC0">
        <w:t xml:space="preserve">In the </w:t>
      </w:r>
      <w:r w:rsidR="003B1EC0" w:rsidRPr="00D2454F">
        <w:rPr>
          <w:i/>
        </w:rPr>
        <w:t xml:space="preserve">FY 2014 </w:t>
      </w:r>
      <w:r w:rsidR="00C529AF">
        <w:rPr>
          <w:i/>
        </w:rPr>
        <w:t>NPRM</w:t>
      </w:r>
      <w:r w:rsidR="00532083">
        <w:rPr>
          <w:i/>
        </w:rPr>
        <w:t>,</w:t>
      </w:r>
      <w:r w:rsidR="003B1EC0">
        <w:t xml:space="preserve"> we proposed adopting a section 9 regulatory fee obligation for all AM expanded band radio stations.</w:t>
      </w:r>
      <w:r w:rsidR="003B1EC0">
        <w:rPr>
          <w:rStyle w:val="FootnoteReference"/>
        </w:rPr>
        <w:footnoteReference w:id="32"/>
      </w:r>
      <w:r w:rsidR="003B1EC0">
        <w:t xml:space="preserve">  </w:t>
      </w:r>
    </w:p>
    <w:p w:rsidR="00F462E1" w:rsidRPr="00F462E1" w:rsidRDefault="0009277E" w:rsidP="00F15C95">
      <w:pPr>
        <w:pStyle w:val="ParaNum"/>
      </w:pPr>
      <w:r>
        <w:t xml:space="preserve">A number of </w:t>
      </w:r>
      <w:r w:rsidR="00206CF0">
        <w:t xml:space="preserve">AM expanded band </w:t>
      </w:r>
      <w:r>
        <w:t xml:space="preserve">broadcasters have chosen to operate exclusively in the expanded band; at least two opted to retain their standard band licenses.  </w:t>
      </w:r>
      <w:r w:rsidR="00206CF0">
        <w:t>We find that t</w:t>
      </w:r>
      <w:r w:rsidR="004A154E">
        <w:t xml:space="preserve">here is no longer a reason to provide this </w:t>
      </w:r>
      <w:r w:rsidR="00D735F6">
        <w:t xml:space="preserve">regulatory fee exemption </w:t>
      </w:r>
      <w:r w:rsidR="004A154E">
        <w:t>to AM broadcasters</w:t>
      </w:r>
      <w:r w:rsidR="00361AE8">
        <w:t>.</w:t>
      </w:r>
      <w:r w:rsidR="00B544C1">
        <w:rPr>
          <w:rStyle w:val="FootnoteReference"/>
        </w:rPr>
        <w:footnoteReference w:id="33"/>
      </w:r>
      <w:r w:rsidR="00361AE8">
        <w:t xml:space="preserve">  </w:t>
      </w:r>
      <w:r w:rsidR="00D735F6">
        <w:t>B</w:t>
      </w:r>
      <w:r>
        <w:t xml:space="preserve">roadcasters who have retained both their standard and expanded band licenses should </w:t>
      </w:r>
      <w:r w:rsidR="004A154E">
        <w:t xml:space="preserve">not </w:t>
      </w:r>
      <w:r>
        <w:t>continue to be exempt from paying regulatory fees</w:t>
      </w:r>
      <w:r w:rsidR="00206CF0">
        <w:t xml:space="preserve"> because </w:t>
      </w:r>
      <w:r w:rsidR="00F74FA1">
        <w:t xml:space="preserve">the exemption’s original purpose </w:t>
      </w:r>
      <w:r w:rsidR="003A48D9">
        <w:t xml:space="preserve">of </w:t>
      </w:r>
      <w:r w:rsidR="003A48D9" w:rsidRPr="00206CF0">
        <w:t>encouraging</w:t>
      </w:r>
      <w:r w:rsidR="003A48D9">
        <w:t xml:space="preserve"> AM</w:t>
      </w:r>
      <w:r w:rsidR="00F74FA1">
        <w:t xml:space="preserve"> broadcasters to </w:t>
      </w:r>
      <w:r w:rsidR="003A48D9">
        <w:t>move to</w:t>
      </w:r>
      <w:r w:rsidR="00206CF0">
        <w:t xml:space="preserve"> the expanded band and reduce interference in the standard band</w:t>
      </w:r>
      <w:r w:rsidR="00FE0CC6">
        <w:t xml:space="preserve"> </w:t>
      </w:r>
      <w:r w:rsidR="00F74FA1">
        <w:t>has been achieved</w:t>
      </w:r>
      <w:r w:rsidR="00BD62E9">
        <w:t xml:space="preserve">.  </w:t>
      </w:r>
      <w:r w:rsidR="00F26BF9">
        <w:t>Therefore, w</w:t>
      </w:r>
      <w:r>
        <w:t xml:space="preserve">e adopt the proposal in the </w:t>
      </w:r>
      <w:r w:rsidRPr="00F26BF9">
        <w:rPr>
          <w:i/>
        </w:rPr>
        <w:t xml:space="preserve">FY 2014 </w:t>
      </w:r>
      <w:r w:rsidR="00C529AF" w:rsidRPr="00F26BF9">
        <w:rPr>
          <w:i/>
        </w:rPr>
        <w:t>NPRM</w:t>
      </w:r>
      <w:r w:rsidR="0054386C">
        <w:rPr>
          <w:i/>
        </w:rPr>
        <w:t xml:space="preserve"> </w:t>
      </w:r>
      <w:r w:rsidR="0054386C" w:rsidRPr="00332BB4">
        <w:t>by discontinuing the exemption</w:t>
      </w:r>
      <w:r w:rsidR="00CF32D0">
        <w:t>.  Broadcasters who are operating in the AM expanded band will</w:t>
      </w:r>
      <w:r w:rsidR="00536277">
        <w:t xml:space="preserve"> </w:t>
      </w:r>
      <w:r w:rsidR="00CF32D0">
        <w:t>pay regulatory fees on the same basis as AM standard band licensees</w:t>
      </w:r>
      <w:r w:rsidR="00206CF0" w:rsidRPr="00206CF0">
        <w:rPr>
          <w:szCs w:val="22"/>
        </w:rPr>
        <w:t xml:space="preserve"> </w:t>
      </w:r>
      <w:r w:rsidR="00206CF0">
        <w:rPr>
          <w:szCs w:val="22"/>
        </w:rPr>
        <w:t>beginning in FY 2014.</w:t>
      </w:r>
      <w:r w:rsidR="00596AB8" w:rsidRPr="00F26BF9">
        <w:rPr>
          <w:szCs w:val="22"/>
        </w:rPr>
        <w:t xml:space="preserve">     </w:t>
      </w:r>
    </w:p>
    <w:p w:rsidR="00530E10" w:rsidRDefault="002107EF" w:rsidP="00021D5D">
      <w:pPr>
        <w:pStyle w:val="Heading2"/>
      </w:pPr>
      <w:bookmarkStart w:id="24" w:name="_Toc394672303"/>
      <w:bookmarkStart w:id="25" w:name="_Toc397078315"/>
      <w:r>
        <w:t>Reallocations within Fee Categories</w:t>
      </w:r>
      <w:bookmarkEnd w:id="24"/>
      <w:bookmarkEnd w:id="25"/>
    </w:p>
    <w:p w:rsidR="00EE3216" w:rsidRPr="00EE3216" w:rsidRDefault="00EE3216" w:rsidP="00EE3216">
      <w:pPr>
        <w:pStyle w:val="Heading3"/>
      </w:pPr>
      <w:bookmarkStart w:id="26" w:name="_Toc394672304"/>
      <w:bookmarkStart w:id="27" w:name="_Toc397078316"/>
      <w:r>
        <w:t>Submarine Cable</w:t>
      </w:r>
      <w:bookmarkEnd w:id="26"/>
      <w:bookmarkEnd w:id="27"/>
    </w:p>
    <w:p w:rsidR="00B7063E" w:rsidRDefault="00B7063E" w:rsidP="00F15C95">
      <w:pPr>
        <w:pStyle w:val="ParaNum"/>
      </w:pPr>
      <w:r w:rsidRPr="00A438CD">
        <w:t>Submarine cable systems</w:t>
      </w:r>
      <w:r>
        <w:rPr>
          <w:rStyle w:val="FootnoteReference"/>
        </w:rPr>
        <w:footnoteReference w:id="34"/>
      </w:r>
      <w:r w:rsidRPr="00A438CD">
        <w:t xml:space="preserve"> transport data, as well as voice services, for international carriers, Internet providers, wholesale operators, corporate customers, and governments</w:t>
      </w:r>
      <w:r>
        <w:t>.  The submarine cable industry is subject to minimal</w:t>
      </w:r>
      <w:r w:rsidRPr="00A438CD">
        <w:t xml:space="preserve"> regulation and oversight from the Commission after the initial licensing process.</w:t>
      </w:r>
      <w:r w:rsidRPr="00A438CD">
        <w:rPr>
          <w:rStyle w:val="FootnoteReference"/>
        </w:rPr>
        <w:footnoteReference w:id="35"/>
      </w:r>
      <w:r w:rsidRPr="00A438CD">
        <w:t xml:space="preserve">  </w:t>
      </w:r>
      <w:r>
        <w:t xml:space="preserve">After a submarine cable system is licensed, the regulatory activity is primarily </w:t>
      </w:r>
      <w:r>
        <w:lastRenderedPageBreak/>
        <w:t>limited to preparing Circuit Status Reports</w:t>
      </w:r>
      <w:r>
        <w:rPr>
          <w:rStyle w:val="FootnoteReference"/>
        </w:rPr>
        <w:footnoteReference w:id="36"/>
      </w:r>
      <w:r>
        <w:t xml:space="preserve"> and filing of quarterly reports by licensees affiliated with a carrier with market power in destination market of the </w:t>
      </w:r>
      <w:r w:rsidR="00745E9C">
        <w:t>submarine cable</w:t>
      </w:r>
      <w:r>
        <w:t>.</w:t>
      </w:r>
      <w:r w:rsidRPr="00A438CD">
        <w:rPr>
          <w:rStyle w:val="FootnoteReference"/>
        </w:rPr>
        <w:footnoteReference w:id="37"/>
      </w:r>
      <w:r w:rsidRPr="00A438CD">
        <w:t xml:space="preserve">  </w:t>
      </w:r>
    </w:p>
    <w:p w:rsidR="00B7063E" w:rsidRDefault="00B7063E" w:rsidP="00F91B7F">
      <w:pPr>
        <w:pStyle w:val="ParaNum"/>
        <w:widowControl/>
      </w:pPr>
      <w:r>
        <w:t>Previously, c</w:t>
      </w:r>
      <w:r w:rsidRPr="00A438CD">
        <w:t xml:space="preserve">ommenters </w:t>
      </w:r>
      <w:r>
        <w:t>proposed</w:t>
      </w:r>
      <w:r w:rsidRPr="00A438CD">
        <w:t xml:space="preserve"> that the regulatory fees among International Bureau licensees should be </w:t>
      </w:r>
      <w:r>
        <w:t>adjusted to reflect this minimal oversight</w:t>
      </w:r>
      <w:r w:rsidRPr="00A438CD">
        <w:rPr>
          <w:rStyle w:val="FootnoteReference"/>
        </w:rPr>
        <w:footnoteReference w:id="38"/>
      </w:r>
      <w:r>
        <w:t xml:space="preserve"> and we sought comment on this issue in the </w:t>
      </w:r>
      <w:r w:rsidRPr="004230BF">
        <w:rPr>
          <w:i/>
        </w:rPr>
        <w:t xml:space="preserve">FY 2014 </w:t>
      </w:r>
      <w:r>
        <w:rPr>
          <w:i/>
        </w:rPr>
        <w:t>NPRM</w:t>
      </w:r>
      <w:r>
        <w:t>.</w:t>
      </w:r>
      <w:r>
        <w:rPr>
          <w:rStyle w:val="FootnoteReference"/>
        </w:rPr>
        <w:footnoteReference w:id="39"/>
      </w:r>
      <w:r w:rsidRPr="00A438CD">
        <w:t xml:space="preserve">  </w:t>
      </w:r>
      <w:r>
        <w:t xml:space="preserve">We tentatively concluded in the </w:t>
      </w:r>
      <w:r w:rsidRPr="00164E59">
        <w:rPr>
          <w:i/>
        </w:rPr>
        <w:t xml:space="preserve">FY 2014 </w:t>
      </w:r>
      <w:r>
        <w:rPr>
          <w:i/>
        </w:rPr>
        <w:t>NPRM</w:t>
      </w:r>
      <w:r>
        <w:t xml:space="preserve"> that we should revise </w:t>
      </w:r>
      <w:r w:rsidRPr="00300BDD">
        <w:t>the apportionment between</w:t>
      </w:r>
      <w:r>
        <w:t xml:space="preserve"> satellite services (space station and earth station regulatory fee categories) and the</w:t>
      </w:r>
      <w:r w:rsidRPr="00300BDD">
        <w:t xml:space="preserve"> submarine cable operators/terrestrial</w:t>
      </w:r>
      <w:r>
        <w:t xml:space="preserve"> and </w:t>
      </w:r>
      <w:r w:rsidRPr="00300BDD">
        <w:t>satellite circuits</w:t>
      </w:r>
      <w:r>
        <w:t xml:space="preserve"> (submarine </w:t>
      </w:r>
      <w:r w:rsidRPr="00383DFB">
        <w:t>cable/bearer circuits</w:t>
      </w:r>
      <w:r>
        <w:t>)</w:t>
      </w:r>
      <w:r w:rsidRPr="00300BDD">
        <w:t xml:space="preserve"> </w:t>
      </w:r>
      <w:r>
        <w:t>to more accurately reflect the  amount of oversight and regulation for these industries</w:t>
      </w:r>
      <w:r w:rsidRPr="00300BDD">
        <w:t>.</w:t>
      </w:r>
      <w:r w:rsidRPr="00300BDD">
        <w:rPr>
          <w:rStyle w:val="FootnoteReference"/>
        </w:rPr>
        <w:footnoteReference w:id="40"/>
      </w:r>
      <w:r w:rsidRPr="004445DB">
        <w:t xml:space="preserve"> </w:t>
      </w:r>
      <w:r>
        <w:t xml:space="preserve"> The satellite services pay 59 percent of the total regulatory fees allocated to International Bureau licensees and submarine cable pays 41 percent of this total.  Submarine cable is subject to minimal regulation and oversight after being licensed, and therefore, the current allocation of 41 percent of regulatory fees is excessive for this industry.</w:t>
      </w:r>
    </w:p>
    <w:p w:rsidR="00B7063E" w:rsidRPr="00FE2F75" w:rsidRDefault="00B7063E" w:rsidP="00F15C95">
      <w:pPr>
        <w:pStyle w:val="ParaNum"/>
      </w:pPr>
      <w:r>
        <w:t xml:space="preserve">For instance, in response to the </w:t>
      </w:r>
      <w:r w:rsidRPr="00722297">
        <w:rPr>
          <w:i/>
        </w:rPr>
        <w:t>FY 2014 NPRM</w:t>
      </w:r>
      <w:r>
        <w:t xml:space="preserve">, NASCA, representing several submarine cable operators (with 29 of the 41 </w:t>
      </w:r>
      <w:r w:rsidRPr="00F86EEB">
        <w:t>active systems landing in the United States) emphasized that the Commission engages in limited enforcement</w:t>
      </w:r>
      <w:r>
        <w:t xml:space="preserve"> activity, policy and rulemaking actions, user information services, and international activities regarding submarine cable operators.</w:t>
      </w:r>
      <w:r>
        <w:rPr>
          <w:rStyle w:val="FootnoteReference"/>
        </w:rPr>
        <w:footnoteReference w:id="41"/>
      </w:r>
      <w:r w:rsidR="004404DB">
        <w:t xml:space="preserve">  NASCA also observes that </w:t>
      </w:r>
      <w:r>
        <w:t xml:space="preserve">most of the Commission’s work related to submarine cable is limited to licensing, processing applications, and reviewing proposed </w:t>
      </w:r>
      <w:r w:rsidRPr="00FE2F75">
        <w:t>transactions.</w:t>
      </w:r>
      <w:r w:rsidRPr="00FE2F75">
        <w:rPr>
          <w:rStyle w:val="FootnoteReference"/>
        </w:rPr>
        <w:footnoteReference w:id="42"/>
      </w:r>
      <w:r w:rsidRPr="00FE2F75">
        <w:t xml:space="preserve">  </w:t>
      </w:r>
    </w:p>
    <w:p w:rsidR="00B7063E" w:rsidRDefault="00B7063E" w:rsidP="00F15C95">
      <w:pPr>
        <w:pStyle w:val="ParaNum"/>
      </w:pPr>
      <w:r>
        <w:t>We agree that the combined revenue requirement for submarine cable is currently too high compared to the revenue requirement for the satellite and earth station operators.</w:t>
      </w:r>
      <w:r>
        <w:rPr>
          <w:rStyle w:val="FootnoteReference"/>
        </w:rPr>
        <w:footnoteReference w:id="43"/>
      </w:r>
      <w:r>
        <w:t xml:space="preserve">  Specifically, the current regulatory fee assessment for the submarine cable category does not fairly take into account the Commission’s minimal oversight and regulation of the industry, as demonstrated by NASCA.  We therefore reduce the regulatory fee apportionment for </w:t>
      </w:r>
      <w:r w:rsidR="00FE2F75">
        <w:t>submarine cable to more acc</w:t>
      </w:r>
      <w:r>
        <w:t xml:space="preserve">urately reflect the amount of regulation and oversight for this industry.  In doing so, we find a </w:t>
      </w:r>
      <w:r w:rsidR="00CD1E2C">
        <w:t>five</w:t>
      </w:r>
      <w:r>
        <w:t xml:space="preserve"> </w:t>
      </w:r>
      <w:r w:rsidRPr="00FE2F75">
        <w:t xml:space="preserve">percent decrease in regulatory fee obligations is appropriate at this time.  </w:t>
      </w:r>
      <w:r w:rsidR="00FE2F75" w:rsidRPr="00FE2F75">
        <w:t>This decrease reflects that</w:t>
      </w:r>
      <w:r w:rsidRPr="00FE2F75">
        <w:t xml:space="preserve"> although only two FTEs in the International Bureau </w:t>
      </w:r>
      <w:r w:rsidR="00765AF4">
        <w:t>work on</w:t>
      </w:r>
      <w:r w:rsidRPr="00FE2F75">
        <w:t xml:space="preserve"> submarine cable </w:t>
      </w:r>
      <w:r w:rsidR="00765AF4">
        <w:t>issues</w:t>
      </w:r>
      <w:r w:rsidRPr="00FE2F75">
        <w:t>, a total of 47.5 indirect FTEs devote time to both submarine cable and other regulatees of the International Bureau.</w:t>
      </w:r>
      <w:r w:rsidR="00717076">
        <w:rPr>
          <w:rStyle w:val="FootnoteReference"/>
        </w:rPr>
        <w:footnoteReference w:id="44"/>
      </w:r>
      <w:r w:rsidR="00280833">
        <w:t xml:space="preserve">  </w:t>
      </w:r>
      <w:r w:rsidRPr="00FE2F75">
        <w:t xml:space="preserve">A five percent decrease, is </w:t>
      </w:r>
      <w:r w:rsidR="00FE2F75" w:rsidRPr="00FE2F75">
        <w:t xml:space="preserve">therefore </w:t>
      </w:r>
      <w:r w:rsidRPr="00FE2F75">
        <w:t>appropriate because it reflects</w:t>
      </w:r>
      <w:r>
        <w:t xml:space="preserve"> both the direct work </w:t>
      </w:r>
      <w:r w:rsidR="00765AF4">
        <w:t>on</w:t>
      </w:r>
      <w:r>
        <w:t xml:space="preserve"> submarine cable</w:t>
      </w:r>
      <w:r w:rsidR="00765AF4">
        <w:t xml:space="preserve"> issues</w:t>
      </w:r>
      <w:r>
        <w:t xml:space="preserve"> and the indirect FTEs that devote their time to I</w:t>
      </w:r>
      <w:r w:rsidR="00CD1E2C">
        <w:t>nternational Bureau</w:t>
      </w:r>
      <w:r>
        <w:t xml:space="preserve"> regulatees as a whole.</w:t>
      </w:r>
      <w:r w:rsidR="004404DB">
        <w:t xml:space="preserve">  </w:t>
      </w:r>
      <w:r>
        <w:t>As discussed below, this</w:t>
      </w:r>
      <w:r w:rsidR="00CD1E2C">
        <w:t xml:space="preserve"> approximate</w:t>
      </w:r>
      <w:r w:rsidR="00414465">
        <w:t>ly</w:t>
      </w:r>
      <w:r>
        <w:t xml:space="preserve"> five</w:t>
      </w:r>
      <w:r w:rsidR="001D688E">
        <w:t xml:space="preserve"> </w:t>
      </w:r>
      <w:r>
        <w:t xml:space="preserve">percent decrease in regulatory fees for submarine cable results in </w:t>
      </w:r>
      <w:r w:rsidR="009871C5">
        <w:t xml:space="preserve">a change in the </w:t>
      </w:r>
      <w:r>
        <w:lastRenderedPageBreak/>
        <w:t>allocation percentage between Submarine Cable and Bearer Circuit issues (41</w:t>
      </w:r>
      <w:r w:rsidR="00765AF4">
        <w:t xml:space="preserve"> percent</w:t>
      </w:r>
      <w:r>
        <w:t xml:space="preserve"> of International regulatory fees), and Satellite and Earth Station issues (59</w:t>
      </w:r>
      <w:r w:rsidR="00765AF4">
        <w:t xml:space="preserve"> percent</w:t>
      </w:r>
      <w:r>
        <w:t xml:space="preserve"> of International regulatory fees) to 35.72 percent and 64.28 percent, respectively.  We </w:t>
      </w:r>
      <w:r w:rsidR="008D4D8D">
        <w:t xml:space="preserve">will </w:t>
      </w:r>
      <w:r>
        <w:t xml:space="preserve">revisit the issue of submarine cable systems in future regulatory fee proceedings to determine if additional adjustment is warranted. </w:t>
      </w:r>
    </w:p>
    <w:p w:rsidR="00204CCF" w:rsidRDefault="007E63E6" w:rsidP="007E63E6">
      <w:pPr>
        <w:pStyle w:val="Heading3"/>
      </w:pPr>
      <w:bookmarkStart w:id="28" w:name="_Toc394672305"/>
      <w:bookmarkStart w:id="29" w:name="_Toc397078317"/>
      <w:r>
        <w:t>Earth Stations</w:t>
      </w:r>
      <w:bookmarkEnd w:id="28"/>
      <w:bookmarkEnd w:id="29"/>
    </w:p>
    <w:p w:rsidR="00421CBE" w:rsidRPr="007E63E6" w:rsidRDefault="007E63E6" w:rsidP="00E11A1E">
      <w:pPr>
        <w:pStyle w:val="ParaNum"/>
        <w:widowControl/>
      </w:pPr>
      <w:r w:rsidRPr="007E63E6">
        <w:t>An earth station</w:t>
      </w:r>
      <w:r w:rsidR="00216CF9" w:rsidRPr="00216CF9">
        <w:t xml:space="preserve"> </w:t>
      </w:r>
      <w:r w:rsidRPr="007E63E6">
        <w:t>transmit</w:t>
      </w:r>
      <w:r w:rsidR="00633883">
        <w:t>s</w:t>
      </w:r>
      <w:r w:rsidRPr="007E63E6">
        <w:t xml:space="preserve"> or receive</w:t>
      </w:r>
      <w:r w:rsidR="00633883">
        <w:t>s</w:t>
      </w:r>
      <w:r w:rsidRPr="007E63E6">
        <w:t xml:space="preserve"> messages from a satellite.  </w:t>
      </w:r>
      <w:r w:rsidR="00633883">
        <w:t>I</w:t>
      </w:r>
      <w:r>
        <w:t xml:space="preserve">n the </w:t>
      </w:r>
      <w:r w:rsidRPr="009C485E">
        <w:rPr>
          <w:i/>
        </w:rPr>
        <w:t xml:space="preserve">FY 2014 </w:t>
      </w:r>
      <w:r w:rsidR="00920649" w:rsidRPr="009C485E">
        <w:rPr>
          <w:i/>
        </w:rPr>
        <w:t>NPRM</w:t>
      </w:r>
      <w:r>
        <w:t xml:space="preserve">, </w:t>
      </w:r>
      <w:r w:rsidR="000A660B">
        <w:t xml:space="preserve">the Commission recognized </w:t>
      </w:r>
      <w:r w:rsidR="003A48D9">
        <w:t xml:space="preserve">that </w:t>
      </w:r>
      <w:r w:rsidR="003A48D9" w:rsidRPr="007E63E6">
        <w:t>oversight</w:t>
      </w:r>
      <w:r w:rsidRPr="007E63E6">
        <w:t xml:space="preserve"> and regulation</w:t>
      </w:r>
      <w:r w:rsidR="000A660B">
        <w:t xml:space="preserve"> of the satellite industry by </w:t>
      </w:r>
      <w:r w:rsidR="007A11F8">
        <w:t>International Bureau FTEs</w:t>
      </w:r>
      <w:r w:rsidR="000A660B">
        <w:t xml:space="preserve"> involves legal, technical, and policy issues pertaining to both space station and earth station operations and is therefore</w:t>
      </w:r>
      <w:r w:rsidRPr="007E63E6">
        <w:t xml:space="preserve"> interdependent to some </w:t>
      </w:r>
      <w:r>
        <w:t>degree.</w:t>
      </w:r>
      <w:r>
        <w:rPr>
          <w:rStyle w:val="FootnoteReference"/>
        </w:rPr>
        <w:footnoteReference w:id="45"/>
      </w:r>
      <w:r w:rsidR="00421CBE">
        <w:t xml:space="preserve">  </w:t>
      </w:r>
      <w:r w:rsidR="000A660B">
        <w:t xml:space="preserve">We also recognized in the </w:t>
      </w:r>
      <w:r w:rsidR="000A660B" w:rsidRPr="00BB65F4">
        <w:rPr>
          <w:i/>
        </w:rPr>
        <w:t xml:space="preserve">FY 2014 </w:t>
      </w:r>
      <w:r w:rsidR="000A660B" w:rsidRPr="00FE2F75">
        <w:rPr>
          <w:i/>
        </w:rPr>
        <w:t>NPRM</w:t>
      </w:r>
      <w:r w:rsidR="000A660B" w:rsidRPr="00FE2F75">
        <w:t>, that our activities concerning the satellite industry also involve issues related to non-U.S. license</w:t>
      </w:r>
      <w:r w:rsidR="00883C00" w:rsidRPr="00FE2F75">
        <w:t>d</w:t>
      </w:r>
      <w:r w:rsidR="000A660B" w:rsidRPr="00FE2F75">
        <w:t xml:space="preserve"> space stations that access the U.S. market but do not pay regulatory fees.</w:t>
      </w:r>
      <w:r w:rsidR="000A660B" w:rsidRPr="00FE2F75">
        <w:rPr>
          <w:rStyle w:val="FootnoteReference"/>
        </w:rPr>
        <w:footnoteReference w:id="46"/>
      </w:r>
      <w:r w:rsidR="000A660B" w:rsidRPr="00FE2F75">
        <w:t xml:space="preserve"> </w:t>
      </w:r>
      <w:r w:rsidR="00821EEA" w:rsidRPr="00FE2F75">
        <w:t xml:space="preserve"> In light of this, w</w:t>
      </w:r>
      <w:r w:rsidRPr="00FE2F75">
        <w:t xml:space="preserve">e </w:t>
      </w:r>
      <w:r w:rsidR="00421CBE" w:rsidRPr="00FE2F75">
        <w:t>sought</w:t>
      </w:r>
      <w:r w:rsidRPr="00FE2F75">
        <w:t xml:space="preserve"> comment</w:t>
      </w:r>
      <w:r w:rsidRPr="007E63E6">
        <w:t xml:space="preserve"> on</w:t>
      </w:r>
      <w:r w:rsidR="00421CBE">
        <w:t xml:space="preserve"> whether we should increase the earth station regulatory fee</w:t>
      </w:r>
      <w:r w:rsidRPr="007E63E6">
        <w:t xml:space="preserve"> allocation in order to reflect more appropriately the </w:t>
      </w:r>
      <w:r w:rsidR="00021AF4">
        <w:t xml:space="preserve">number of FTEs </w:t>
      </w:r>
      <w:r w:rsidR="008B6222">
        <w:t xml:space="preserve">devoted to </w:t>
      </w:r>
      <w:r w:rsidR="00021AF4">
        <w:t xml:space="preserve">the </w:t>
      </w:r>
      <w:r w:rsidRPr="007E63E6">
        <w:t>regulation and oversight of th</w:t>
      </w:r>
      <w:r w:rsidR="00821EEA">
        <w:t xml:space="preserve">e earth station portion of the </w:t>
      </w:r>
      <w:r w:rsidR="003A48D9">
        <w:t>satellite</w:t>
      </w:r>
      <w:r w:rsidR="00821EEA">
        <w:t xml:space="preserve"> i</w:t>
      </w:r>
      <w:r w:rsidRPr="007E63E6">
        <w:t>ndustry.</w:t>
      </w:r>
      <w:r w:rsidR="00421CBE">
        <w:rPr>
          <w:rStyle w:val="FootnoteReference"/>
        </w:rPr>
        <w:footnoteReference w:id="47"/>
      </w:r>
      <w:r w:rsidRPr="007E63E6">
        <w:t xml:space="preserve">  </w:t>
      </w:r>
      <w:r w:rsidR="003A48D9">
        <w:t>Commenters suggest</w:t>
      </w:r>
      <w:r w:rsidR="0018123E">
        <w:t xml:space="preserve"> that if the Commission needs a specific mechanism to account for International Bureau FTEs working on market access requests from non-U.S.-licensed satellites</w:t>
      </w:r>
      <w:r w:rsidR="00821EEA">
        <w:t>, the Commission should do so by increasing the</w:t>
      </w:r>
      <w:r w:rsidR="0018123E">
        <w:t xml:space="preserve"> earth station regulatory fee</w:t>
      </w:r>
      <w:r w:rsidR="00821EEA">
        <w:t>.</w:t>
      </w:r>
      <w:r w:rsidR="0018123E">
        <w:rPr>
          <w:rStyle w:val="FootnoteReference"/>
        </w:rPr>
        <w:footnoteReference w:id="48"/>
      </w:r>
      <w:r w:rsidR="0018123E">
        <w:t xml:space="preserve">  </w:t>
      </w:r>
      <w:r w:rsidR="00526D38">
        <w:t>EchoStar and DISH observe that earth station licensees’ regulatory fees may not reflect the</w:t>
      </w:r>
      <w:r w:rsidR="00821EEA">
        <w:t xml:space="preserve"> regulatory</w:t>
      </w:r>
      <w:r w:rsidR="008A3806">
        <w:t xml:space="preserve"> cost</w:t>
      </w:r>
      <w:r w:rsidR="00821EEA">
        <w:t xml:space="preserve"> associated with</w:t>
      </w:r>
      <w:r w:rsidR="008A3806">
        <w:t xml:space="preserve"> these system</w:t>
      </w:r>
      <w:r w:rsidR="00526D38">
        <w:t xml:space="preserve">s </w:t>
      </w:r>
      <w:r w:rsidR="00821EEA">
        <w:t xml:space="preserve">for regulatory fee purposes.  These commenters also note </w:t>
      </w:r>
      <w:r w:rsidR="003A48D9">
        <w:t>that space</w:t>
      </w:r>
      <w:r w:rsidR="00CD6602">
        <w:t xml:space="preserve"> stations pay an unreasonably high portion of the regulatory fees for this allocation.</w:t>
      </w:r>
      <w:r w:rsidR="00CD6602">
        <w:rPr>
          <w:rStyle w:val="FootnoteReference"/>
        </w:rPr>
        <w:footnoteReference w:id="49"/>
      </w:r>
      <w:r w:rsidR="00322892">
        <w:t xml:space="preserve">  </w:t>
      </w:r>
      <w:r w:rsidR="00821EEA">
        <w:t>Commenters also suggest t</w:t>
      </w:r>
      <w:r w:rsidR="00322892">
        <w:t>he current allocation</w:t>
      </w:r>
      <w:r w:rsidR="005005FA">
        <w:t xml:space="preserve"> between space and earth station operators</w:t>
      </w:r>
      <w:r w:rsidR="00322892">
        <w:t xml:space="preserve"> does not reflect the significant streamlining of space station regulation that has occurred.</w:t>
      </w:r>
      <w:r w:rsidR="00322892">
        <w:rPr>
          <w:rStyle w:val="FootnoteReference"/>
        </w:rPr>
        <w:footnoteReference w:id="50"/>
      </w:r>
      <w:r w:rsidR="009C485E">
        <w:t xml:space="preserve">  </w:t>
      </w:r>
      <w:r w:rsidR="00421CBE">
        <w:t xml:space="preserve">We </w:t>
      </w:r>
      <w:r w:rsidR="00497053">
        <w:t xml:space="preserve">agree </w:t>
      </w:r>
      <w:r w:rsidR="00693871">
        <w:t>with commenters and adjust the</w:t>
      </w:r>
      <w:r w:rsidR="00497053">
        <w:t xml:space="preserve"> regulatory fees for earth stations </w:t>
      </w:r>
      <w:r w:rsidR="00693871">
        <w:t>to reflect the r</w:t>
      </w:r>
      <w:r w:rsidR="00497053">
        <w:t xml:space="preserve">elative oversight and regulation </w:t>
      </w:r>
      <w:r w:rsidR="005005FA">
        <w:t>of</w:t>
      </w:r>
      <w:r w:rsidR="00497053">
        <w:t xml:space="preserve"> space stations and earth stations.  </w:t>
      </w:r>
      <w:r w:rsidR="005005FA">
        <w:t>Accordingly</w:t>
      </w:r>
      <w:r w:rsidR="003A48D9">
        <w:t xml:space="preserve">, </w:t>
      </w:r>
      <w:r w:rsidR="00E1039C">
        <w:t xml:space="preserve">as discussed above, </w:t>
      </w:r>
      <w:r w:rsidR="003A48D9">
        <w:t>we</w:t>
      </w:r>
      <w:r w:rsidR="005005FA">
        <w:t xml:space="preserve"> </w:t>
      </w:r>
      <w:r w:rsidR="00676F2D">
        <w:t>revise the allocation of the submarine cable/bearer circuit fee categor</w:t>
      </w:r>
      <w:r w:rsidR="0025167E">
        <w:t>ies from 41 per</w:t>
      </w:r>
      <w:r w:rsidR="00676F2D">
        <w:t xml:space="preserve">cent of all international regulatory fees to </w:t>
      </w:r>
      <w:r w:rsidR="008A30AF">
        <w:t>approximately 36</w:t>
      </w:r>
      <w:r w:rsidR="00676F2D">
        <w:t xml:space="preserve"> percent of all international regulatory fees.  </w:t>
      </w:r>
      <w:r w:rsidR="008B6222">
        <w:t>T</w:t>
      </w:r>
      <w:r w:rsidR="00676F2D">
        <w:t>his reduction in the allocation of submarine cable/bearer circuit fee categories result</w:t>
      </w:r>
      <w:r w:rsidR="008B6222">
        <w:t>s</w:t>
      </w:r>
      <w:r w:rsidR="00676F2D">
        <w:t xml:space="preserve"> in an increase in the satellite/earth station allocation </w:t>
      </w:r>
      <w:r w:rsidR="000B6728">
        <w:t xml:space="preserve">percentage </w:t>
      </w:r>
      <w:r w:rsidR="00676F2D">
        <w:t>from 59 percent to</w:t>
      </w:r>
      <w:r w:rsidR="008A30AF">
        <w:t xml:space="preserve"> approximately</w:t>
      </w:r>
      <w:r w:rsidR="00676F2D">
        <w:t xml:space="preserve"> 64</w:t>
      </w:r>
      <w:r w:rsidR="008A30AF">
        <w:t xml:space="preserve"> </w:t>
      </w:r>
      <w:r w:rsidR="00676F2D" w:rsidRPr="00FE2F75">
        <w:t>percent</w:t>
      </w:r>
      <w:r w:rsidR="000B6728" w:rsidRPr="00FE2F75">
        <w:t xml:space="preserve">.  </w:t>
      </w:r>
      <w:r w:rsidR="006205E9" w:rsidRPr="00FE2F75">
        <w:t xml:space="preserve">This five percent change in allocation results in a larger projected revenue collection for satellite and earth stations.  To collect this additional revenue for FY 2014 we will increase earth stations regulatory fees by 7.5 percent from their FY 2013 rates and we will collect the remaining revenue from the satellite fee categories.   </w:t>
      </w:r>
      <w:r w:rsidR="006205E9">
        <w:t xml:space="preserve">   </w:t>
      </w:r>
      <w:r w:rsidR="000B6728">
        <w:t xml:space="preserve">   </w:t>
      </w:r>
      <w:r w:rsidR="00AC562F">
        <w:t xml:space="preserve">  </w:t>
      </w:r>
    </w:p>
    <w:p w:rsidR="009A71F6" w:rsidRDefault="009A71F6" w:rsidP="00021D5D">
      <w:pPr>
        <w:pStyle w:val="Heading2"/>
      </w:pPr>
      <w:bookmarkStart w:id="30" w:name="_Toc351572416"/>
      <w:bookmarkStart w:id="31" w:name="_Toc351572418"/>
      <w:bookmarkStart w:id="32" w:name="_Toc394672306"/>
      <w:bookmarkStart w:id="33" w:name="_Toc397078318"/>
      <w:bookmarkEnd w:id="30"/>
      <w:bookmarkEnd w:id="31"/>
      <w:r>
        <w:t>Improving the Regulatory Fee Process</w:t>
      </w:r>
      <w:bookmarkEnd w:id="32"/>
      <w:bookmarkEnd w:id="33"/>
    </w:p>
    <w:p w:rsidR="00232FAD" w:rsidRPr="00A438CD" w:rsidRDefault="0078750B" w:rsidP="00F15C95">
      <w:pPr>
        <w:pStyle w:val="ParaNum"/>
      </w:pPr>
      <w:r>
        <w:t>As noted earlier, t</w:t>
      </w:r>
      <w:r w:rsidR="00A32B29">
        <w:t xml:space="preserve">his Report and Order is our latest step </w:t>
      </w:r>
      <w:r w:rsidR="00DF1111">
        <w:t xml:space="preserve">in reforming </w:t>
      </w:r>
      <w:r w:rsidR="00A32B29">
        <w:t xml:space="preserve">our regulatory fee process.  </w:t>
      </w:r>
      <w:r w:rsidR="00232FAD" w:rsidRPr="00A438CD">
        <w:t xml:space="preserve">In the </w:t>
      </w:r>
      <w:r w:rsidR="00232FAD" w:rsidRPr="00A438CD">
        <w:rPr>
          <w:i/>
        </w:rPr>
        <w:t>FY 2013 Report and Order</w:t>
      </w:r>
      <w:r w:rsidR="00232FAD" w:rsidRPr="00A438CD">
        <w:t>, the Commission committed to additional regulatory fee reform</w:t>
      </w:r>
      <w:r w:rsidR="00232FAD">
        <w:t>,</w:t>
      </w:r>
      <w:r w:rsidR="00232FAD" w:rsidRPr="00A438CD">
        <w:t xml:space="preserve"> stating: </w:t>
      </w:r>
    </w:p>
    <w:p w:rsidR="00232FAD" w:rsidRPr="00A438CD" w:rsidRDefault="00232FAD" w:rsidP="001063AA">
      <w:pPr>
        <w:pStyle w:val="ParaNum"/>
        <w:widowControl/>
        <w:numPr>
          <w:ilvl w:val="0"/>
          <w:numId w:val="0"/>
        </w:numPr>
        <w:tabs>
          <w:tab w:val="num" w:pos="1440"/>
        </w:tabs>
        <w:ind w:left="634"/>
      </w:pPr>
      <w:r w:rsidRPr="00A438CD">
        <w:lastRenderedPageBreak/>
        <w:t xml:space="preserve">Various other issues relevant to revising our regulatory fee program were also raised in either the </w:t>
      </w:r>
      <w:r w:rsidRPr="00A438CD">
        <w:rPr>
          <w:i/>
        </w:rPr>
        <w:t>FY 2013 NPRM</w:t>
      </w:r>
      <w:r w:rsidRPr="00A438CD">
        <w:t xml:space="preserve"> or in comments submitted in response to it.  Because we require further information to best determine what action to take on these complex issues, we will consolidate them for consideration in a Second Further Notice of Proposed Rulemaking that we will issue shortly.  We recognize that these are complex issues and that resolving them will be difficult.  Nevertheless, we intend to conclusively readjust regulatory fees within three years.</w:t>
      </w:r>
      <w:r w:rsidRPr="00A438CD">
        <w:rPr>
          <w:rStyle w:val="FootnoteReference"/>
        </w:rPr>
        <w:footnoteReference w:id="51"/>
      </w:r>
    </w:p>
    <w:p w:rsidR="00165BE5" w:rsidRDefault="001F6998" w:rsidP="00F15C95">
      <w:pPr>
        <w:pStyle w:val="ParaNum"/>
      </w:pPr>
      <w:r>
        <w:t xml:space="preserve">We adopted significant reforms in the </w:t>
      </w:r>
      <w:r w:rsidRPr="0052510A">
        <w:rPr>
          <w:i/>
        </w:rPr>
        <w:t>FY 2013 Report and Order</w:t>
      </w:r>
      <w:r>
        <w:t xml:space="preserve"> and we continued to seek comment on additional reforms in the </w:t>
      </w:r>
      <w:r w:rsidRPr="0052510A">
        <w:rPr>
          <w:i/>
        </w:rPr>
        <w:t>FY 2014 NPRM</w:t>
      </w:r>
      <w:r w:rsidR="004C4F94">
        <w:rPr>
          <w:i/>
        </w:rPr>
        <w:t xml:space="preserve"> </w:t>
      </w:r>
      <w:r w:rsidR="004C4F94">
        <w:t>and</w:t>
      </w:r>
      <w:r w:rsidR="00DF1111">
        <w:t xml:space="preserve"> in the </w:t>
      </w:r>
      <w:r w:rsidR="004C4F94">
        <w:t xml:space="preserve">Further </w:t>
      </w:r>
      <w:r w:rsidR="004C4F94" w:rsidRPr="00FE2F75">
        <w:t xml:space="preserve">Notice included in </w:t>
      </w:r>
      <w:r w:rsidR="003A48D9" w:rsidRPr="00FE2F75">
        <w:t>this order</w:t>
      </w:r>
      <w:r w:rsidRPr="00FE2F75">
        <w:t xml:space="preserve">.  </w:t>
      </w:r>
      <w:r w:rsidR="00A32B29" w:rsidRPr="00FE2F75">
        <w:t xml:space="preserve">In the </w:t>
      </w:r>
      <w:r w:rsidR="00A32B29" w:rsidRPr="00FE2F75">
        <w:rPr>
          <w:i/>
        </w:rPr>
        <w:t xml:space="preserve">FY 2014 </w:t>
      </w:r>
      <w:r w:rsidR="00920649" w:rsidRPr="00FE2F75">
        <w:rPr>
          <w:i/>
        </w:rPr>
        <w:t xml:space="preserve">NPRM </w:t>
      </w:r>
      <w:r w:rsidR="00A32B29" w:rsidRPr="00FE2F75">
        <w:t>we sought comment on how often we should engage in an in</w:t>
      </w:r>
      <w:r w:rsidR="00883C00" w:rsidRPr="00FE2F75">
        <w:t>-</w:t>
      </w:r>
      <w:r w:rsidR="00A32B29" w:rsidRPr="00FE2F75">
        <w:t>depth</w:t>
      </w:r>
      <w:r w:rsidR="00A32B29">
        <w:t xml:space="preserve"> review of our regulatory fee methodology in a way t</w:t>
      </w:r>
      <w:r w:rsidR="009A71F6" w:rsidRPr="00A438CD">
        <w:t xml:space="preserve">hat balances the need for stability </w:t>
      </w:r>
      <w:r w:rsidR="00DF1111">
        <w:t>to enable regulatees in various</w:t>
      </w:r>
      <w:r w:rsidR="009A71F6" w:rsidRPr="00A438CD">
        <w:t xml:space="preserve"> industry sectors to budget for regulatory fees against the need to reflect the changing work of the Commission FTEs</w:t>
      </w:r>
      <w:r w:rsidR="00A32B29">
        <w:t>.</w:t>
      </w:r>
      <w:r w:rsidR="00A32B29">
        <w:rPr>
          <w:rStyle w:val="FootnoteReference"/>
        </w:rPr>
        <w:footnoteReference w:id="52"/>
      </w:r>
      <w:r w:rsidR="00863A53" w:rsidRPr="007F7B4B">
        <w:t xml:space="preserve"> </w:t>
      </w:r>
      <w:r w:rsidR="0052510A">
        <w:t xml:space="preserve"> </w:t>
      </w:r>
      <w:r w:rsidR="00165BE5">
        <w:t>Commenters</w:t>
      </w:r>
      <w:r w:rsidR="00565FFB">
        <w:t xml:space="preserve"> agree that we should update our </w:t>
      </w:r>
      <w:r w:rsidR="00CE2A40">
        <w:t>FTE allocations at regular intervals</w:t>
      </w:r>
      <w:r w:rsidR="00342D09">
        <w:t>, such as annually,</w:t>
      </w:r>
      <w:r w:rsidR="00CE2A40">
        <w:t xml:space="preserve"> to avoid</w:t>
      </w:r>
      <w:r w:rsidR="00DF1111">
        <w:t xml:space="preserve"> assessing</w:t>
      </w:r>
      <w:r w:rsidR="00CE2A40">
        <w:t xml:space="preserve"> regulatory fees based on outdated information.</w:t>
      </w:r>
      <w:r w:rsidR="00CE2A40">
        <w:rPr>
          <w:rStyle w:val="FootnoteReference"/>
        </w:rPr>
        <w:footnoteReference w:id="53"/>
      </w:r>
      <w:r w:rsidR="0052510A">
        <w:t xml:space="preserve">  </w:t>
      </w:r>
    </w:p>
    <w:p w:rsidR="008940E9" w:rsidRDefault="00165BE5" w:rsidP="00F15C95">
      <w:pPr>
        <w:pStyle w:val="ParaNum"/>
      </w:pPr>
      <w:r>
        <w:t>We conclude</w:t>
      </w:r>
      <w:r w:rsidR="00693871">
        <w:t xml:space="preserve"> </w:t>
      </w:r>
      <w:r w:rsidR="002A1BF5">
        <w:t xml:space="preserve">that </w:t>
      </w:r>
      <w:r w:rsidR="00693871">
        <w:t xml:space="preserve">it is appropriate to update </w:t>
      </w:r>
      <w:r w:rsidR="00342D09">
        <w:t xml:space="preserve">the </w:t>
      </w:r>
      <w:r w:rsidR="00693871">
        <w:t xml:space="preserve">FTE </w:t>
      </w:r>
      <w:r w:rsidR="00342D09">
        <w:t>count annually.</w:t>
      </w:r>
      <w:r w:rsidR="004C4F94">
        <w:t xml:space="preserve">  We agree with commenters and </w:t>
      </w:r>
      <w:r w:rsidR="00945421">
        <w:t xml:space="preserve">the </w:t>
      </w:r>
      <w:r w:rsidR="004C4F94">
        <w:t>GAO that regular updates are appropriate</w:t>
      </w:r>
      <w:r w:rsidR="00D03A26">
        <w:t xml:space="preserve"> in order to calculate regulatory fees</w:t>
      </w:r>
      <w:r w:rsidR="002A1BF5" w:rsidRPr="002A1BF5">
        <w:t xml:space="preserve"> more accurately</w:t>
      </w:r>
      <w:r w:rsidR="00D03A26">
        <w:t>.</w:t>
      </w:r>
      <w:r w:rsidR="004A127C">
        <w:t xml:space="preserve">  </w:t>
      </w:r>
      <w:r w:rsidR="002A1BF5">
        <w:t>W</w:t>
      </w:r>
      <w:r w:rsidR="004C4F94">
        <w:t xml:space="preserve">e </w:t>
      </w:r>
      <w:r w:rsidR="002A1BF5">
        <w:t xml:space="preserve">also </w:t>
      </w:r>
      <w:r w:rsidR="004C4F94">
        <w:t>find it appropriate</w:t>
      </w:r>
      <w:r w:rsidR="002A1BF5">
        <w:t xml:space="preserve"> to perform these updates </w:t>
      </w:r>
      <w:r w:rsidR="004C4F94">
        <w:t xml:space="preserve">annually </w:t>
      </w:r>
      <w:r w:rsidR="002A1BF5">
        <w:t xml:space="preserve">because doing so will ensure use of </w:t>
      </w:r>
      <w:r w:rsidR="004C4F94">
        <w:t xml:space="preserve">the most </w:t>
      </w:r>
      <w:r w:rsidR="002A1BF5">
        <w:t xml:space="preserve">current </w:t>
      </w:r>
      <w:r w:rsidR="004C4F94">
        <w:t>FTE counts in regulatory fee calcu</w:t>
      </w:r>
      <w:r w:rsidR="00C27439">
        <w:t>l</w:t>
      </w:r>
      <w:r w:rsidR="004C4F94">
        <w:t>ations</w:t>
      </w:r>
      <w:r w:rsidR="002A1BF5">
        <w:t>, while imposing little administrative burden on the Commission</w:t>
      </w:r>
      <w:r w:rsidR="004C4F94">
        <w:t xml:space="preserve">. </w:t>
      </w:r>
      <w:r w:rsidR="00342D09">
        <w:t xml:space="preserve"> </w:t>
      </w:r>
      <w:r w:rsidR="004C4F94">
        <w:t xml:space="preserve">We will begin this process </w:t>
      </w:r>
      <w:r w:rsidR="00693871">
        <w:t>beginning in FY 2015.</w:t>
      </w:r>
      <w:r w:rsidR="00D03A26">
        <w:t xml:space="preserve">  </w:t>
      </w:r>
    </w:p>
    <w:p w:rsidR="00D03A26" w:rsidRDefault="00D03A26" w:rsidP="00F15C95">
      <w:pPr>
        <w:pStyle w:val="ParaNum"/>
      </w:pPr>
      <w:r>
        <w:t xml:space="preserve">Commenters also </w:t>
      </w:r>
      <w:r w:rsidRPr="00D1132F">
        <w:t>suggest that we conclude our regulatory fee proceedings earlier in the year;</w:t>
      </w:r>
      <w:r w:rsidRPr="00D1132F">
        <w:rPr>
          <w:rStyle w:val="FootnoteReference"/>
          <w:sz w:val="22"/>
          <w:szCs w:val="22"/>
        </w:rPr>
        <w:footnoteReference w:id="54"/>
      </w:r>
      <w:r w:rsidRPr="00D1132F">
        <w:t xml:space="preserve"> however, </w:t>
      </w:r>
      <w:r w:rsidR="003A48D9" w:rsidRPr="00D1132F">
        <w:t>it is</w:t>
      </w:r>
      <w:r w:rsidR="008A30AF" w:rsidRPr="00D1132F">
        <w:t xml:space="preserve"> not feasible to do so because our fee calculations (</w:t>
      </w:r>
      <w:r w:rsidR="008A30AF" w:rsidRPr="00D1132F">
        <w:rPr>
          <w:bCs/>
        </w:rPr>
        <w:t>unit estimates</w:t>
      </w:r>
      <w:r w:rsidR="008A30AF" w:rsidRPr="00D1132F">
        <w:t xml:space="preserve">) are </w:t>
      </w:r>
      <w:r w:rsidR="008A30AF" w:rsidRPr="00D1132F">
        <w:rPr>
          <w:bCs/>
        </w:rPr>
        <w:t>generally</w:t>
      </w:r>
      <w:r w:rsidR="008A30AF" w:rsidRPr="00D1132F">
        <w:t xml:space="preserve"> </w:t>
      </w:r>
      <w:r w:rsidR="008A30AF" w:rsidRPr="00D1132F">
        <w:rPr>
          <w:bCs/>
        </w:rPr>
        <w:t xml:space="preserve">updated based on industry submissions </w:t>
      </w:r>
      <w:r w:rsidR="008873C4">
        <w:rPr>
          <w:bCs/>
        </w:rPr>
        <w:t xml:space="preserve">with filing </w:t>
      </w:r>
      <w:r w:rsidR="008A30AF" w:rsidRPr="00D1132F">
        <w:rPr>
          <w:bCs/>
        </w:rPr>
        <w:t>deadlines between April and June, and this data is crucial in det</w:t>
      </w:r>
      <w:r w:rsidR="00D1132F" w:rsidRPr="00D1132F">
        <w:rPr>
          <w:bCs/>
        </w:rPr>
        <w:t xml:space="preserve">ermining an accurate fee rate prior to release of the regulatory fee </w:t>
      </w:r>
      <w:r w:rsidR="00D1132F">
        <w:rPr>
          <w:bCs/>
        </w:rPr>
        <w:t>notice of proposed rulemaking.</w:t>
      </w:r>
      <w:r w:rsidR="008D4D8D">
        <w:rPr>
          <w:rStyle w:val="FootnoteReference"/>
          <w:bCs/>
          <w:szCs w:val="22"/>
        </w:rPr>
        <w:footnoteReference w:id="55"/>
      </w:r>
      <w:r w:rsidR="008873C4">
        <w:rPr>
          <w:bCs/>
        </w:rPr>
        <w:t xml:space="preserve">  Given these deadlines, which are set for additional purposes beyond regulatory fees and the time needed to comply with rulemaking requirements, it is not currently feasible to conduct and conclude the regulatory fee process earlier in the year.  </w:t>
      </w:r>
      <w:r w:rsidR="00D1132F" w:rsidRPr="00D1132F">
        <w:rPr>
          <w:bCs/>
        </w:rPr>
        <w:t xml:space="preserve"> </w:t>
      </w:r>
    </w:p>
    <w:p w:rsidR="00945421" w:rsidRDefault="004C4F94" w:rsidP="00F15C95">
      <w:pPr>
        <w:pStyle w:val="ParaNum"/>
      </w:pPr>
      <w:r>
        <w:t xml:space="preserve">Concerning </w:t>
      </w:r>
      <w:r w:rsidR="00342D09">
        <w:t xml:space="preserve">revising allocations, we believe it would be appropriate to seek comment on any such revisions every </w:t>
      </w:r>
      <w:r w:rsidR="00693871">
        <w:t>two year</w:t>
      </w:r>
      <w:r w:rsidR="00342D09">
        <w:t xml:space="preserve">s, or as needed.  </w:t>
      </w:r>
      <w:r w:rsidR="00B764AA">
        <w:t>Whereas updating the FTEs can be accomplished at minimal cost to the Commission</w:t>
      </w:r>
      <w:r w:rsidR="001C28EA">
        <w:t>,</w:t>
      </w:r>
      <w:r w:rsidR="00B764AA">
        <w:t xml:space="preserve"> </w:t>
      </w:r>
      <w:r w:rsidR="00DE11E5">
        <w:t>revising</w:t>
      </w:r>
      <w:r w:rsidR="00B764AA">
        <w:t xml:space="preserve"> the allocations is a more complex process requiring in-depth analysis and public comment.  Moreover, </w:t>
      </w:r>
      <w:r w:rsidR="00DE11E5">
        <w:t>revising</w:t>
      </w:r>
      <w:r w:rsidR="00B764AA">
        <w:t xml:space="preserve"> the allocations annually could create regulatory uncertainty based on changes stemming from small variations in annual workload rather than a</w:t>
      </w:r>
      <w:r w:rsidR="00783C6E">
        <w:t xml:space="preserve"> longer</w:t>
      </w:r>
      <w:r w:rsidR="001C28EA">
        <w:t xml:space="preserve"> lasting change.</w:t>
      </w:r>
      <w:r w:rsidR="00B764AA">
        <w:t xml:space="preserve"> </w:t>
      </w:r>
      <w:r w:rsidR="00693871">
        <w:t xml:space="preserve"> </w:t>
      </w:r>
      <w:r w:rsidR="001C28EA">
        <w:t>Therefore, g</w:t>
      </w:r>
      <w:r w:rsidR="00B764AA">
        <w:t xml:space="preserve">iven the need for </w:t>
      </w:r>
      <w:r w:rsidR="00693871">
        <w:t xml:space="preserve">regulatory certainty </w:t>
      </w:r>
      <w:r w:rsidR="00B764AA">
        <w:t xml:space="preserve">and </w:t>
      </w:r>
      <w:r w:rsidR="00693871">
        <w:t>the time</w:t>
      </w:r>
      <w:r w:rsidR="00B764AA">
        <w:t xml:space="preserve"> needed for</w:t>
      </w:r>
      <w:r w:rsidR="001C28EA">
        <w:t xml:space="preserve"> the</w:t>
      </w:r>
      <w:r w:rsidR="00B764AA">
        <w:t xml:space="preserve"> Commission to conduct the appropriate rulemaking</w:t>
      </w:r>
      <w:r w:rsidR="00693871">
        <w:t xml:space="preserve"> proceedings </w:t>
      </w:r>
      <w:r w:rsidR="001C28EA">
        <w:t xml:space="preserve">we conclude </w:t>
      </w:r>
      <w:r w:rsidR="00DE11E5">
        <w:t xml:space="preserve">that </w:t>
      </w:r>
      <w:r w:rsidR="001C28EA">
        <w:t xml:space="preserve">a biennial process for revising allocations is preferable to an annual one. </w:t>
      </w:r>
      <w:bookmarkStart w:id="34" w:name="_Toc394672307"/>
    </w:p>
    <w:p w:rsidR="00165BE5" w:rsidRDefault="00165BE5" w:rsidP="00177232">
      <w:pPr>
        <w:pStyle w:val="Heading2"/>
      </w:pPr>
      <w:bookmarkStart w:id="35" w:name="_Toc397078319"/>
      <w:r>
        <w:lastRenderedPageBreak/>
        <w:t>Revising the De Minimis Threshold</w:t>
      </w:r>
      <w:bookmarkEnd w:id="34"/>
      <w:bookmarkEnd w:id="35"/>
      <w:r>
        <w:t xml:space="preserve"> </w:t>
      </w:r>
    </w:p>
    <w:p w:rsidR="002F4B29" w:rsidRPr="0000777B" w:rsidRDefault="00165BE5" w:rsidP="001063AA">
      <w:pPr>
        <w:pStyle w:val="ParaNum"/>
        <w:widowControl/>
      </w:pPr>
      <w:r>
        <w:t>Currently, a regulatee is exempt from paying regulatory fees if the sum total of all of its liabilities</w:t>
      </w:r>
      <w:r w:rsidR="0062391C">
        <w:t xml:space="preserve"> for</w:t>
      </w:r>
      <w:r w:rsidR="0062391C" w:rsidRPr="002D2C42">
        <w:rPr>
          <w:szCs w:val="22"/>
        </w:rPr>
        <w:t xml:space="preserve"> all categories of </w:t>
      </w:r>
      <w:r w:rsidR="00DF4872">
        <w:rPr>
          <w:szCs w:val="22"/>
        </w:rPr>
        <w:t xml:space="preserve">regulatory </w:t>
      </w:r>
      <w:r w:rsidR="0062391C" w:rsidRPr="002D2C42">
        <w:rPr>
          <w:szCs w:val="22"/>
        </w:rPr>
        <w:t xml:space="preserve">fees </w:t>
      </w:r>
      <w:r w:rsidR="003A48D9" w:rsidRPr="002D2C42">
        <w:rPr>
          <w:szCs w:val="22"/>
        </w:rPr>
        <w:t xml:space="preserve">for </w:t>
      </w:r>
      <w:r w:rsidR="003A48D9">
        <w:t>the</w:t>
      </w:r>
      <w:r>
        <w:t xml:space="preserve"> fiscal year is less than $10.</w:t>
      </w:r>
      <w:r w:rsidR="00C16F6C">
        <w:rPr>
          <w:rStyle w:val="FootnoteReference"/>
        </w:rPr>
        <w:footnoteReference w:id="56"/>
      </w:r>
      <w:r>
        <w:t xml:space="preserve">  </w:t>
      </w:r>
      <w:r w:rsidR="00DF4872">
        <w:t>Because t</w:t>
      </w:r>
      <w:r w:rsidR="00093D7F">
        <w:t xml:space="preserve">his $10 annual threshold is too low to benefit most small entities, </w:t>
      </w:r>
      <w:r w:rsidR="00DF4872">
        <w:t xml:space="preserve">in the </w:t>
      </w:r>
      <w:r w:rsidR="00DF4872" w:rsidRPr="00A63A47">
        <w:rPr>
          <w:i/>
        </w:rPr>
        <w:t xml:space="preserve">FY 2014 </w:t>
      </w:r>
      <w:r w:rsidR="00DF4872">
        <w:rPr>
          <w:i/>
        </w:rPr>
        <w:t>NPRM</w:t>
      </w:r>
      <w:r w:rsidR="00584249" w:rsidRPr="00584249">
        <w:t xml:space="preserve"> </w:t>
      </w:r>
      <w:r w:rsidR="00584249">
        <w:t>we proposed</w:t>
      </w:r>
      <w:r w:rsidR="00DF4872">
        <w:t xml:space="preserve"> to </w:t>
      </w:r>
      <w:r>
        <w:t>increas</w:t>
      </w:r>
      <w:r w:rsidR="00DF4872">
        <w:t>e</w:t>
      </w:r>
      <w:r>
        <w:t xml:space="preserve"> the de minimis threshold to </w:t>
      </w:r>
      <w:r w:rsidR="00455761">
        <w:t xml:space="preserve">$100, $500, or $1,000 to </w:t>
      </w:r>
      <w:r>
        <w:t>provide more relief to smaller entities</w:t>
      </w:r>
      <w:r w:rsidR="00696162">
        <w:t xml:space="preserve"> and improve the cost </w:t>
      </w:r>
      <w:r w:rsidR="00696162" w:rsidRPr="0000777B">
        <w:t xml:space="preserve">effectiveness of the </w:t>
      </w:r>
      <w:r w:rsidR="00DF4872" w:rsidRPr="0000777B">
        <w:t xml:space="preserve">Commission’s collection of </w:t>
      </w:r>
      <w:r w:rsidR="00696162" w:rsidRPr="0000777B">
        <w:t>regulatory fee</w:t>
      </w:r>
      <w:r w:rsidR="00DF4872" w:rsidRPr="0000777B">
        <w:t>s</w:t>
      </w:r>
      <w:r w:rsidRPr="0000777B">
        <w:t>.</w:t>
      </w:r>
      <w:r w:rsidR="0059563E" w:rsidRPr="0000777B">
        <w:rPr>
          <w:rStyle w:val="FootnoteReference"/>
        </w:rPr>
        <w:footnoteReference w:id="57"/>
      </w:r>
      <w:r w:rsidR="0066461B" w:rsidRPr="0000777B">
        <w:t xml:space="preserve"> </w:t>
      </w:r>
    </w:p>
    <w:p w:rsidR="007E2484" w:rsidRDefault="000D2555" w:rsidP="00F15C95">
      <w:pPr>
        <w:pStyle w:val="ParaNum"/>
      </w:pPr>
      <w:r w:rsidRPr="0000777B">
        <w:t>ACA contends, and w</w:t>
      </w:r>
      <w:r w:rsidR="00612FD7" w:rsidRPr="0000777B">
        <w:t xml:space="preserve">e </w:t>
      </w:r>
      <w:r w:rsidRPr="0000777B">
        <w:t xml:space="preserve">agree, that </w:t>
      </w:r>
      <w:r w:rsidR="00612FD7" w:rsidRPr="0000777B">
        <w:t xml:space="preserve">our previous de minimis threshold of $10 was too low to benefit </w:t>
      </w:r>
      <w:r w:rsidR="00697B3B" w:rsidRPr="0000777B">
        <w:t xml:space="preserve">the smaller </w:t>
      </w:r>
      <w:r w:rsidR="00612FD7" w:rsidRPr="0000777B">
        <w:t>licensees and provide cost effectiveness</w:t>
      </w:r>
      <w:r w:rsidRPr="0000777B">
        <w:t xml:space="preserve"> to our fee collection process.</w:t>
      </w:r>
      <w:r w:rsidRPr="0000777B">
        <w:rPr>
          <w:rStyle w:val="FootnoteReference"/>
        </w:rPr>
        <w:footnoteReference w:id="58"/>
      </w:r>
      <w:r w:rsidRPr="0000777B">
        <w:t xml:space="preserve">  </w:t>
      </w:r>
      <w:r w:rsidR="00B926AF" w:rsidRPr="0000777B">
        <w:t>ACA</w:t>
      </w:r>
      <w:r w:rsidR="00BB3F53">
        <w:t xml:space="preserve"> </w:t>
      </w:r>
      <w:r w:rsidR="00E1566F">
        <w:t>asserts</w:t>
      </w:r>
      <w:r w:rsidR="00B31CB4">
        <w:t xml:space="preserve"> that</w:t>
      </w:r>
      <w:r w:rsidR="00B926AF" w:rsidRPr="0000777B">
        <w:t xml:space="preserve"> extending relief from regulatory fees to very small operators would have a de minimis impact on our regulatory fee collections</w:t>
      </w:r>
      <w:r w:rsidR="00381F02" w:rsidRPr="0000777B">
        <w:rPr>
          <w:rStyle w:val="FootnoteReference"/>
        </w:rPr>
        <w:footnoteReference w:id="59"/>
      </w:r>
      <w:r w:rsidR="00B926AF" w:rsidRPr="0000777B">
        <w:t xml:space="preserve"> but may contribute to the difference between staying in business or shuttering the system for the operators and small and rural communities they serve.</w:t>
      </w:r>
      <w:r w:rsidR="00B926AF" w:rsidRPr="0000777B">
        <w:rPr>
          <w:rStyle w:val="FootnoteReference"/>
        </w:rPr>
        <w:footnoteReference w:id="60"/>
      </w:r>
      <w:r w:rsidR="00B926AF" w:rsidRPr="0000777B">
        <w:t xml:space="preserve">  </w:t>
      </w:r>
      <w:r w:rsidR="003768F9" w:rsidRPr="0000777B">
        <w:t xml:space="preserve">NAB also </w:t>
      </w:r>
      <w:r w:rsidR="00BB3F53">
        <w:t>asserts</w:t>
      </w:r>
      <w:r w:rsidR="00864BFE" w:rsidRPr="0000777B">
        <w:t xml:space="preserve"> </w:t>
      </w:r>
      <w:r w:rsidR="003768F9" w:rsidRPr="0000777B">
        <w:t>that a higher de minimis threshold would permit stations in small markets to devote more resources towards improved programming and signal quality.</w:t>
      </w:r>
      <w:r w:rsidR="003768F9" w:rsidRPr="0000777B">
        <w:rPr>
          <w:rStyle w:val="FootnoteReference"/>
        </w:rPr>
        <w:footnoteReference w:id="61"/>
      </w:r>
    </w:p>
    <w:p w:rsidR="0000777B" w:rsidRPr="007E2484" w:rsidRDefault="007E2484" w:rsidP="00F15C95">
      <w:pPr>
        <w:pStyle w:val="ParaNum"/>
      </w:pPr>
      <w:r>
        <w:t>A</w:t>
      </w:r>
      <w:r w:rsidR="0000777B" w:rsidRPr="0000777B">
        <w:t>T&amp;T suggests that in setting the de minimis threshold the Commission select a “fee amount just north of the point at which it costs the Commission more to assess and recover the fee than the fee actually brings in</w:t>
      </w:r>
      <w:r w:rsidR="00945421">
        <w:t>.</w:t>
      </w:r>
      <w:r w:rsidR="0000777B" w:rsidRPr="0000777B">
        <w:t>”</w:t>
      </w:r>
      <w:r w:rsidR="0000777B" w:rsidRPr="0000777B">
        <w:rPr>
          <w:rStyle w:val="FootnoteReference"/>
        </w:rPr>
        <w:footnoteReference w:id="62"/>
      </w:r>
      <w:r w:rsidR="0000777B" w:rsidRPr="0000777B">
        <w:t xml:space="preserve">  This</w:t>
      </w:r>
      <w:r w:rsidR="0000777B" w:rsidRPr="00C06874">
        <w:t xml:space="preserve"> </w:t>
      </w:r>
      <w:r w:rsidR="005E5859">
        <w:t>suggestion</w:t>
      </w:r>
      <w:r w:rsidR="0000777B" w:rsidRPr="00C06874">
        <w:t xml:space="preserve"> is</w:t>
      </w:r>
      <w:r w:rsidR="0000777B">
        <w:t xml:space="preserve"> reasonable</w:t>
      </w:r>
      <w:r w:rsidR="00945421">
        <w:t xml:space="preserve"> and, as we discuss below, is what we adopt today.  In</w:t>
      </w:r>
      <w:r w:rsidR="00EA7147">
        <w:t xml:space="preserve"> addition, we </w:t>
      </w:r>
      <w:r w:rsidR="0000777B" w:rsidRPr="00C06874">
        <w:t xml:space="preserve">take into account the </w:t>
      </w:r>
      <w:r w:rsidR="00CE73A1">
        <w:t xml:space="preserve">significant </w:t>
      </w:r>
      <w:r w:rsidR="0000777B" w:rsidRPr="00C06874">
        <w:t>non-financial benefits that justify an increased</w:t>
      </w:r>
      <w:r w:rsidR="00377C23">
        <w:t xml:space="preserve"> threshold.  S</w:t>
      </w:r>
      <w:r w:rsidR="0000777B">
        <w:t xml:space="preserve">maller entities are at greater risk of missing regulatory fee deadlines because of their limited budgets and resources.  Nonpayment for these small entities then often results in the escalation of administrative and financial burdens, as these small entities must devote more resources to navigate through the late payment recovery process.  In addition, many of these entities are subject to little Commission oversight and regulation which serves to further exacerbate this inequity.  We therefore find the current $10 threshold unnecessarily burdens small entities, and raising it </w:t>
      </w:r>
      <w:r w:rsidR="0000777B" w:rsidRPr="00C06874">
        <w:t>to $500</w:t>
      </w:r>
      <w:r w:rsidR="0000777B">
        <w:t xml:space="preserve"> will provide </w:t>
      </w:r>
      <w:r w:rsidR="0000777B" w:rsidRPr="00C06874">
        <w:t>financial relief to these entities</w:t>
      </w:r>
      <w:r w:rsidR="0000777B">
        <w:t>,</w:t>
      </w:r>
      <w:r w:rsidR="0000777B" w:rsidRPr="00C06874">
        <w:t xml:space="preserve"> in addition to reducing the administrative burden on the Commission.  This higher threshold reflects the estimated costs of collecting an unpaid, minimal regulatory fee, at least $350 in direct costs,</w:t>
      </w:r>
      <w:r w:rsidR="0000777B" w:rsidRPr="00C06874">
        <w:rPr>
          <w:rStyle w:val="FootnoteReference"/>
        </w:rPr>
        <w:footnoteReference w:id="63"/>
      </w:r>
      <w:r w:rsidR="0000777B" w:rsidRPr="00C06874">
        <w:t xml:space="preserve"> and the benefits to </w:t>
      </w:r>
      <w:r w:rsidR="0000777B">
        <w:t xml:space="preserve">these entities </w:t>
      </w:r>
      <w:r w:rsidR="0000777B" w:rsidRPr="00C06874">
        <w:t xml:space="preserve">of a higher de minimis threshold.  In addition, setting the threshold at $500 is unlikely to reduce fee collections to an amount below the full amount of the Commission’s annual appropriation. </w:t>
      </w:r>
      <w:r w:rsidR="00945421">
        <w:t xml:space="preserve"> </w:t>
      </w:r>
      <w:r w:rsidR="0000777B" w:rsidRPr="00C06874">
        <w:t>Contrary to the as</w:t>
      </w:r>
      <w:r w:rsidR="0000777B">
        <w:t xml:space="preserve">sertion of ACA, which argues the de minimis threshold should be cable operators serving 1000 or fewer subscribers, or NAB, which argues for a $750 or $1,000 de minimis threshold, we believe setting the de minimis threshold at $500 is the proper balance to ensure relief for smaller entities against the need for sufficient collection of regulatory fees consistent with the Commission’s responsibilities.  In particular, we find a de minimis threshold higher than $500 may result in insufficient fees collected for the fiscal year.  We will continue to monitor the de minimis </w:t>
      </w:r>
      <w:r w:rsidR="0000777B">
        <w:lastRenderedPageBreak/>
        <w:t xml:space="preserve">issue and, in the future, will consider whether to </w:t>
      </w:r>
      <w:r w:rsidR="005C1665">
        <w:t xml:space="preserve">further </w:t>
      </w:r>
      <w:r w:rsidR="0000777B">
        <w:t>increase the threshold</w:t>
      </w:r>
      <w:r w:rsidR="001029EE">
        <w:t>,</w:t>
      </w:r>
      <w:r w:rsidR="0000777B">
        <w:t xml:space="preserve"> adopt a threshold based on the number of cable and IPTV subscribers as suggested by ACA</w:t>
      </w:r>
      <w:r w:rsidR="001029EE">
        <w:t>,</w:t>
      </w:r>
      <w:r w:rsidR="0000777B">
        <w:t xml:space="preserve"> </w:t>
      </w:r>
      <w:r w:rsidR="0000777B" w:rsidRPr="00C06874">
        <w:t>or</w:t>
      </w:r>
      <w:r w:rsidR="001029EE">
        <w:t xml:space="preserve"> revise the threshold </w:t>
      </w:r>
      <w:r w:rsidR="0000777B" w:rsidRPr="00C06874">
        <w:t>on some other basis.</w:t>
      </w:r>
    </w:p>
    <w:p w:rsidR="0000777B" w:rsidRDefault="0000777B" w:rsidP="00405C8B">
      <w:pPr>
        <w:pStyle w:val="ParaNum"/>
        <w:widowControl/>
      </w:pPr>
      <w:r>
        <w:t xml:space="preserve">The de </w:t>
      </w:r>
      <w:r w:rsidRPr="00C06874">
        <w:t>minimis threshold we adopt today applies only to filers of annual regulatory fees (not multi-year filings).  This de minimis exemption from the payment of regulatory fees applies to the sum of all annual regulatory fee obligations that a regulatee has for all applicable fee categories;</w:t>
      </w:r>
      <w:r>
        <w:t xml:space="preserve"> not to individual payments for each category separately.  So that all licensees have the same opportunity to include all of their licenses towards the $500 de minimis exemption, the Commission will raise the de minimis threshold to $500 beginning October 1, 2014, the first day of fiscal year 2015.  For example, in FY 2015, a regulatee will be exempt from paying regulatory fees if the sum total of all annual regulatory fee obligations between October 1, 2014 and September 30,</w:t>
      </w:r>
      <w:r>
        <w:rPr>
          <w:vertAlign w:val="superscript"/>
        </w:rPr>
        <w:t xml:space="preserve"> </w:t>
      </w:r>
      <w:r>
        <w:t xml:space="preserve">2015 is $500 or less.  This includes the sum total of </w:t>
      </w:r>
      <w:r w:rsidRPr="00592A10">
        <w:t>all annual regulatory fees</w:t>
      </w:r>
      <w:r>
        <w:t xml:space="preserve"> (but not </w:t>
      </w:r>
      <w:r w:rsidRPr="00592A10">
        <w:t>multi-year wireless fees</w:t>
      </w:r>
      <w:r>
        <w:t>)</w:t>
      </w:r>
      <w:r w:rsidRPr="00592A10">
        <w:t xml:space="preserve">.  </w:t>
      </w:r>
      <w:r>
        <w:t>The de minimis status is not a permanent exemption from regulatory fees.  Rather, each regulatee will need to reevaluate annually to determine whether its total liability for annual regulatory fees falls at or below the threshold given any changes that the Commission may make in its regulatory fees from year to year.</w:t>
      </w:r>
    </w:p>
    <w:p w:rsidR="00A213BD" w:rsidRDefault="00A213BD" w:rsidP="00A213BD">
      <w:pPr>
        <w:pStyle w:val="Heading2"/>
      </w:pPr>
      <w:bookmarkStart w:id="36" w:name="_Toc394672308"/>
      <w:bookmarkStart w:id="37" w:name="_Toc397078320"/>
      <w:r>
        <w:t>Eliminating Certain Regulatory Fee Categories</w:t>
      </w:r>
      <w:bookmarkEnd w:id="36"/>
      <w:bookmarkEnd w:id="37"/>
      <w:r>
        <w:t xml:space="preserve"> </w:t>
      </w:r>
    </w:p>
    <w:p w:rsidR="00A63A47" w:rsidRDefault="002F4B29" w:rsidP="00F15C95">
      <w:pPr>
        <w:pStyle w:val="ParaNum"/>
      </w:pPr>
      <w:r>
        <w:t xml:space="preserve">In the </w:t>
      </w:r>
      <w:r w:rsidRPr="002F4B29">
        <w:rPr>
          <w:i/>
        </w:rPr>
        <w:t>FY 2014 NPRM</w:t>
      </w:r>
      <w:r w:rsidR="004404DB">
        <w:t>,</w:t>
      </w:r>
      <w:r w:rsidR="005C1665">
        <w:t xml:space="preserve"> </w:t>
      </w:r>
      <w:r>
        <w:t>w</w:t>
      </w:r>
      <w:r w:rsidR="00A63A47">
        <w:t xml:space="preserve">e sought comment </w:t>
      </w:r>
      <w:r w:rsidR="00165BE5">
        <w:t xml:space="preserve">on whether to </w:t>
      </w:r>
      <w:r w:rsidR="00A63A47">
        <w:t>exclude</w:t>
      </w:r>
      <w:r w:rsidR="00165BE5">
        <w:t xml:space="preserve"> </w:t>
      </w:r>
      <w:r w:rsidR="00455761">
        <w:t xml:space="preserve">certain </w:t>
      </w:r>
      <w:r w:rsidR="00165BE5">
        <w:t>categories</w:t>
      </w:r>
      <w:r w:rsidR="00A63A47">
        <w:t xml:space="preserve">, such as </w:t>
      </w:r>
      <w:r w:rsidR="00F253FD">
        <w:t>amateur r</w:t>
      </w:r>
      <w:r w:rsidR="00804B8C">
        <w:t xml:space="preserve">adio </w:t>
      </w:r>
      <w:r w:rsidR="00165BE5">
        <w:t>vanity call signs</w:t>
      </w:r>
      <w:r w:rsidR="00F253FD">
        <w:rPr>
          <w:rStyle w:val="FootnoteReference"/>
        </w:rPr>
        <w:footnoteReference w:id="64"/>
      </w:r>
      <w:r w:rsidR="00165BE5">
        <w:t xml:space="preserve"> ($</w:t>
      </w:r>
      <w:r w:rsidR="008B7DC7">
        <w:t>21.60</w:t>
      </w:r>
      <w:r w:rsidR="00165BE5">
        <w:t xml:space="preserve"> for a 10-year license) and </w:t>
      </w:r>
      <w:r w:rsidR="00433441">
        <w:t>general mobile radio service (</w:t>
      </w:r>
      <w:r w:rsidR="00165BE5">
        <w:t>GMRS</w:t>
      </w:r>
      <w:r w:rsidR="00433441">
        <w:t>)</w:t>
      </w:r>
      <w:r w:rsidR="00520D66">
        <w:rPr>
          <w:rStyle w:val="FootnoteReference"/>
        </w:rPr>
        <w:footnoteReference w:id="65"/>
      </w:r>
      <w:r w:rsidR="00165BE5">
        <w:t xml:space="preserve"> ($25 for a five-year license)</w:t>
      </w:r>
      <w:r w:rsidR="00A63A47">
        <w:t>, from regulatory fees</w:t>
      </w:r>
      <w:r w:rsidR="005A1183">
        <w:t>.</w:t>
      </w:r>
      <w:r w:rsidR="006124E8">
        <w:rPr>
          <w:rStyle w:val="FootnoteReference"/>
        </w:rPr>
        <w:footnoteReference w:id="66"/>
      </w:r>
      <w:r w:rsidR="005A1183">
        <w:t xml:space="preserve">  </w:t>
      </w:r>
      <w:r w:rsidR="002410D7">
        <w:t>We also sought comment on eliminating other regulatory fee categories, such as Satellite TV, Satellite TV Construction Permits, Broadcast Auxiliaries,</w:t>
      </w:r>
      <w:r w:rsidR="007F5FA3">
        <w:rPr>
          <w:rStyle w:val="FootnoteReference"/>
        </w:rPr>
        <w:footnoteReference w:id="67"/>
      </w:r>
      <w:r w:rsidR="002410D7">
        <w:t xml:space="preserve"> LPTV/Class A Television and FM Translators/Boosters, and CMRS Messaging (Paging) from regulatory fees.  </w:t>
      </w:r>
      <w:r w:rsidR="00B94E71">
        <w:t>W</w:t>
      </w:r>
      <w:r w:rsidR="002410D7">
        <w:t>e sought comment on the benefits of discontinuing such collections</w:t>
      </w:r>
      <w:r w:rsidR="00B94E71" w:rsidRPr="00B94E71">
        <w:t xml:space="preserve"> </w:t>
      </w:r>
      <w:r w:rsidR="0014749C">
        <w:t xml:space="preserve">because these fee </w:t>
      </w:r>
      <w:r w:rsidR="00B94E71">
        <w:t xml:space="preserve">categories account for </w:t>
      </w:r>
      <w:r w:rsidR="00775524">
        <w:t xml:space="preserve">a relatively small portion of annual </w:t>
      </w:r>
      <w:r w:rsidR="00B94E71">
        <w:t>regulatory fees</w:t>
      </w:r>
      <w:r w:rsidR="002410D7">
        <w:t xml:space="preserve">.  </w:t>
      </w:r>
      <w:r w:rsidR="000F1654">
        <w:t xml:space="preserve">The fees for single </w:t>
      </w:r>
      <w:r w:rsidR="00455761">
        <w:t>licenses</w:t>
      </w:r>
      <w:r w:rsidR="000F1654">
        <w:t xml:space="preserve"> in </w:t>
      </w:r>
      <w:r w:rsidR="008B7DC7">
        <w:t xml:space="preserve">many of </w:t>
      </w:r>
      <w:r w:rsidR="000F1654">
        <w:t>these</w:t>
      </w:r>
      <w:r w:rsidR="008B7DC7">
        <w:t xml:space="preserve"> regulatory fee</w:t>
      </w:r>
      <w:r w:rsidR="000F1654">
        <w:t xml:space="preserve"> categories</w:t>
      </w:r>
      <w:r w:rsidR="00455761">
        <w:t xml:space="preserve"> are below the </w:t>
      </w:r>
      <w:r w:rsidR="00CD09A4">
        <w:t xml:space="preserve">de minimis </w:t>
      </w:r>
      <w:r w:rsidR="00455761">
        <w:t>thr</w:t>
      </w:r>
      <w:r w:rsidR="00CD09A4">
        <w:t xml:space="preserve">eshold </w:t>
      </w:r>
      <w:r w:rsidR="000F1654">
        <w:t>adopted above.</w:t>
      </w:r>
      <w:r w:rsidR="00693646">
        <w:t xml:space="preserve">  </w:t>
      </w:r>
      <w:r w:rsidR="008B7DC7">
        <w:t>However, t</w:t>
      </w:r>
      <w:r w:rsidR="00CD09A4">
        <w:t xml:space="preserve">he </w:t>
      </w:r>
      <w:r w:rsidR="00455761">
        <w:t>de minimis threshold is</w:t>
      </w:r>
      <w:r w:rsidR="008B7DC7">
        <w:t xml:space="preserve"> </w:t>
      </w:r>
      <w:r w:rsidR="00CD09A4">
        <w:t xml:space="preserve">an </w:t>
      </w:r>
      <w:r w:rsidR="00455761">
        <w:t>annual</w:t>
      </w:r>
      <w:r w:rsidR="00CD09A4">
        <w:t xml:space="preserve"> threshold and</w:t>
      </w:r>
      <w:r w:rsidR="008B7DC7">
        <w:t xml:space="preserve"> licensees that pay regulatory fees on multiple licenses during the fiscal year may exceed this de minimis threshold by the end of the fiscal year.</w:t>
      </w:r>
      <w:r w:rsidR="00612FD7">
        <w:t xml:space="preserve">  </w:t>
      </w:r>
      <w:r w:rsidR="00103DDF">
        <w:t xml:space="preserve">  </w:t>
      </w:r>
      <w:r w:rsidR="00693646">
        <w:t xml:space="preserve">  </w:t>
      </w:r>
      <w:r>
        <w:t xml:space="preserve"> </w:t>
      </w:r>
      <w:r w:rsidR="003F10ED">
        <w:t xml:space="preserve"> </w:t>
      </w:r>
    </w:p>
    <w:p w:rsidR="00F14F69" w:rsidRPr="00F14F69" w:rsidRDefault="006E0EE2" w:rsidP="00F15C95">
      <w:pPr>
        <w:pStyle w:val="ParaNum"/>
        <w:rPr>
          <w:color w:val="1F497D"/>
        </w:rPr>
      </w:pPr>
      <w:r>
        <w:t>Most c</w:t>
      </w:r>
      <w:r w:rsidR="00017C6B">
        <w:t>ommenters addressing this issue agree with our proposal.</w:t>
      </w:r>
      <w:r w:rsidR="00017C6B">
        <w:rPr>
          <w:rStyle w:val="FootnoteReference"/>
        </w:rPr>
        <w:footnoteReference w:id="68"/>
      </w:r>
      <w:r w:rsidR="00017C6B">
        <w:t xml:space="preserve">  </w:t>
      </w:r>
      <w:r w:rsidR="008C5D76">
        <w:t xml:space="preserve">Commenters </w:t>
      </w:r>
      <w:r w:rsidR="002410D7">
        <w:t>contend</w:t>
      </w:r>
      <w:r w:rsidR="008C5D76">
        <w:t xml:space="preserve"> that we </w:t>
      </w:r>
      <w:r w:rsidR="00F31890">
        <w:t xml:space="preserve">should </w:t>
      </w:r>
      <w:r w:rsidR="008C5D76">
        <w:t xml:space="preserve">eliminate </w:t>
      </w:r>
      <w:r w:rsidR="002410D7">
        <w:t>C</w:t>
      </w:r>
      <w:r w:rsidR="008C5D76">
        <w:t xml:space="preserve">MRS </w:t>
      </w:r>
      <w:r w:rsidR="008C5D76" w:rsidRPr="00FE2F75">
        <w:t>Messaging</w:t>
      </w:r>
      <w:r w:rsidRPr="00FE2F75">
        <w:t>,</w:t>
      </w:r>
      <w:r w:rsidR="00A10025" w:rsidRPr="00FE2F75">
        <w:rPr>
          <w:rStyle w:val="FootnoteReference"/>
        </w:rPr>
        <w:footnoteReference w:id="69"/>
      </w:r>
      <w:r w:rsidR="00A10025" w:rsidRPr="00FE2F75">
        <w:t xml:space="preserve"> aviation ground licensees,</w:t>
      </w:r>
      <w:r w:rsidR="00A10025" w:rsidRPr="00FE2F75">
        <w:rPr>
          <w:rStyle w:val="FootnoteReference"/>
        </w:rPr>
        <w:footnoteReference w:id="70"/>
      </w:r>
      <w:r w:rsidR="00A10025" w:rsidRPr="00FE2F75">
        <w:t xml:space="preserve"> </w:t>
      </w:r>
      <w:r w:rsidRPr="00FE2F75">
        <w:t xml:space="preserve">and certain broadcast </w:t>
      </w:r>
      <w:r w:rsidRPr="00FE2F75">
        <w:lastRenderedPageBreak/>
        <w:t>categories,</w:t>
      </w:r>
      <w:r w:rsidRPr="00FE2F75">
        <w:rPr>
          <w:rStyle w:val="FootnoteReference"/>
        </w:rPr>
        <w:footnoteReference w:id="71"/>
      </w:r>
      <w:r w:rsidRPr="00FE2F75">
        <w:t xml:space="preserve"> </w:t>
      </w:r>
      <w:r w:rsidR="008C5D76" w:rsidRPr="00FE2F75">
        <w:t xml:space="preserve">because there </w:t>
      </w:r>
      <w:r w:rsidR="00A10025" w:rsidRPr="00FE2F75">
        <w:t xml:space="preserve">is </w:t>
      </w:r>
      <w:r w:rsidR="008C5D76" w:rsidRPr="00FE2F75">
        <w:t>no</w:t>
      </w:r>
      <w:r w:rsidR="00513BA0" w:rsidRPr="00FE2F75">
        <w:t>t</w:t>
      </w:r>
      <w:r w:rsidR="008C5D76" w:rsidRPr="00FE2F75">
        <w:t xml:space="preserve"> </w:t>
      </w:r>
      <w:r w:rsidR="00513BA0" w:rsidRPr="00FE2F75">
        <w:t xml:space="preserve">intensive </w:t>
      </w:r>
      <w:r w:rsidR="008C5D76" w:rsidRPr="00FE2F75">
        <w:t xml:space="preserve">Commission oversight or regulation </w:t>
      </w:r>
      <w:r w:rsidR="005407CA" w:rsidRPr="00FE2F75">
        <w:t xml:space="preserve">of these </w:t>
      </w:r>
      <w:r w:rsidR="00A10025" w:rsidRPr="00FE2F75">
        <w:t>industr</w:t>
      </w:r>
      <w:r w:rsidR="005407CA" w:rsidRPr="00FE2F75">
        <w:t>y sectors.</w:t>
      </w:r>
      <w:r w:rsidR="00A10025" w:rsidRPr="00FE2F75">
        <w:t xml:space="preserve">  </w:t>
      </w:r>
      <w:r w:rsidR="00FE2F75" w:rsidRPr="00FE2F75">
        <w:t>At this time, w</w:t>
      </w:r>
      <w:r w:rsidR="001A6F6D" w:rsidRPr="00FE2F75">
        <w:t>e are not eliminating</w:t>
      </w:r>
      <w:r w:rsidR="004922FB" w:rsidRPr="00FE2F75">
        <w:t xml:space="preserve"> </w:t>
      </w:r>
      <w:r w:rsidR="001A6F6D" w:rsidRPr="00FE2F75">
        <w:t>th</w:t>
      </w:r>
      <w:r w:rsidR="00775524" w:rsidRPr="00FE2F75">
        <w:t>e</w:t>
      </w:r>
      <w:r w:rsidR="001A6F6D" w:rsidRPr="00FE2F75">
        <w:t xml:space="preserve">se categories </w:t>
      </w:r>
      <w:r w:rsidR="00FE2F75" w:rsidRPr="00FE2F75">
        <w:t xml:space="preserve">or </w:t>
      </w:r>
      <w:r w:rsidR="00B7392F" w:rsidRPr="00FE2F75">
        <w:t xml:space="preserve">GMRS, Satellite TV, LPTV/Class A Television and FM Translators/Boosters, and </w:t>
      </w:r>
      <w:r w:rsidR="009570D9">
        <w:t xml:space="preserve">amateur radio </w:t>
      </w:r>
      <w:r w:rsidR="00B7392F" w:rsidRPr="00FE2F75">
        <w:t xml:space="preserve">Vanity Call Signs </w:t>
      </w:r>
      <w:r w:rsidR="00D17CED" w:rsidRPr="00FE2F75">
        <w:t>because</w:t>
      </w:r>
      <w:r w:rsidR="00F14F69" w:rsidRPr="00FE2F75">
        <w:t>,</w:t>
      </w:r>
      <w:r w:rsidR="00D17CED" w:rsidRPr="00FE2F75">
        <w:t xml:space="preserve"> based on examination, we do not have adequate support to determine whether the cost of recovery and burden on small entities outweighs the collected revenue</w:t>
      </w:r>
      <w:r w:rsidR="001A6F6D" w:rsidRPr="00FE2F75">
        <w:t xml:space="preserve">; </w:t>
      </w:r>
      <w:r w:rsidR="00216D7E" w:rsidRPr="00FE2F75">
        <w:t>or whether eliminating the fee would adversely affect the licensing process.  W</w:t>
      </w:r>
      <w:r w:rsidR="00236FB8" w:rsidRPr="00FE2F75">
        <w:t xml:space="preserve">e will reevaluate this issue in the future to determine if we should eliminate </w:t>
      </w:r>
      <w:r w:rsidR="00775524" w:rsidRPr="00FE2F75">
        <w:t>other fee</w:t>
      </w:r>
      <w:r w:rsidR="00236FB8" w:rsidRPr="00FE2F75">
        <w:t xml:space="preserve"> categories</w:t>
      </w:r>
      <w:r w:rsidR="00A10025" w:rsidRPr="00FE2F75">
        <w:t>.</w:t>
      </w:r>
      <w:r w:rsidR="006124E8">
        <w:t xml:space="preserve">  </w:t>
      </w:r>
    </w:p>
    <w:p w:rsidR="00336251" w:rsidRPr="0017182A" w:rsidRDefault="004922FB" w:rsidP="00F15C95">
      <w:pPr>
        <w:pStyle w:val="ParaNum"/>
        <w:rPr>
          <w:color w:val="1F497D"/>
        </w:rPr>
      </w:pPr>
      <w:r>
        <w:t>We conclude that we should eliminate 2</w:t>
      </w:r>
      <w:r w:rsidR="00F97911">
        <w:t>18-</w:t>
      </w:r>
      <w:r>
        <w:t>219 MHz licenses,</w:t>
      </w:r>
      <w:r w:rsidR="008156AF">
        <w:rPr>
          <w:rStyle w:val="FootnoteReference"/>
        </w:rPr>
        <w:footnoteReference w:id="72"/>
      </w:r>
      <w:r>
        <w:t xml:space="preserve"> broadcast auxiliaries, and satellite </w:t>
      </w:r>
      <w:r w:rsidR="00F97911">
        <w:t xml:space="preserve">television </w:t>
      </w:r>
      <w:r>
        <w:t xml:space="preserve">construction permits </w:t>
      </w:r>
      <w:r w:rsidR="00CD6039">
        <w:t xml:space="preserve">from the regulatory fee schedule, </w:t>
      </w:r>
      <w:r w:rsidR="00775524">
        <w:t>beginning in</w:t>
      </w:r>
      <w:r w:rsidR="00CD6039">
        <w:t xml:space="preserve"> FY 2015.  </w:t>
      </w:r>
      <w:r w:rsidR="00216D7E">
        <w:t xml:space="preserve">Entities holding </w:t>
      </w:r>
      <w:r w:rsidR="00F97911">
        <w:t>218-</w:t>
      </w:r>
      <w:r w:rsidR="00393D4C">
        <w:t>219 MHz licenses</w:t>
      </w:r>
      <w:r w:rsidR="00216D7E">
        <w:t xml:space="preserve"> pay an annual fee consisting of a regulatory fee and an annual license renewal </w:t>
      </w:r>
      <w:r w:rsidR="00052C99">
        <w:t xml:space="preserve">fee. </w:t>
      </w:r>
      <w:r w:rsidR="006D3545">
        <w:t xml:space="preserve"> </w:t>
      </w:r>
      <w:r w:rsidR="00052C99">
        <w:t>The</w:t>
      </w:r>
      <w:r w:rsidR="00393D4C">
        <w:t xml:space="preserve"> Commission will eliminate the</w:t>
      </w:r>
      <w:r w:rsidR="0049029A">
        <w:t xml:space="preserve"> regulatory fee component of th</w:t>
      </w:r>
      <w:r w:rsidR="002C3969">
        <w:t>is</w:t>
      </w:r>
      <w:r w:rsidR="00393D4C">
        <w:t xml:space="preserve"> three mu</w:t>
      </w:r>
      <w:r w:rsidR="00F14F69">
        <w:t>lti-year wireless fee category</w:t>
      </w:r>
      <w:r w:rsidR="00393D4C">
        <w:t xml:space="preserve"> </w:t>
      </w:r>
      <w:r w:rsidR="00F41DA1">
        <w:t xml:space="preserve">beginning </w:t>
      </w:r>
      <w:r w:rsidR="00393D4C">
        <w:t>in FY 2015.  Parties that already have such licenses</w:t>
      </w:r>
      <w:r w:rsidR="00216D7E">
        <w:t>, however,</w:t>
      </w:r>
      <w:r w:rsidR="00393D4C">
        <w:t xml:space="preserve"> </w:t>
      </w:r>
      <w:r w:rsidR="00216D7E">
        <w:t xml:space="preserve">must continue to pay the annual renewal fee and </w:t>
      </w:r>
      <w:r w:rsidR="00393D4C">
        <w:t xml:space="preserve">will </w:t>
      </w:r>
      <w:r w:rsidR="00052C99">
        <w:t>not be</w:t>
      </w:r>
      <w:r w:rsidR="00393D4C">
        <w:t xml:space="preserve"> eligible for a refund</w:t>
      </w:r>
      <w:r w:rsidR="00216D7E">
        <w:t xml:space="preserve"> of any previously paid licensing fees</w:t>
      </w:r>
      <w:r w:rsidR="00393D4C">
        <w:t xml:space="preserve">.  </w:t>
      </w:r>
      <w:r w:rsidR="00F41DA1">
        <w:t>In the past several years, t</w:t>
      </w:r>
      <w:r w:rsidR="00393D4C">
        <w:t>he Commission has received very fe</w:t>
      </w:r>
      <w:r w:rsidR="00F97911">
        <w:t>w applications, if any, for 218-</w:t>
      </w:r>
      <w:r w:rsidR="00393D4C">
        <w:t xml:space="preserve">219 MHz licenses, </w:t>
      </w:r>
      <w:r w:rsidR="00C01CF3">
        <w:t xml:space="preserve">which has prompted </w:t>
      </w:r>
      <w:r w:rsidR="00BC700A">
        <w:t>us to</w:t>
      </w:r>
      <w:r w:rsidR="00C01CF3">
        <w:t xml:space="preserve"> eliminat</w:t>
      </w:r>
      <w:r w:rsidR="00BC700A">
        <w:t>e</w:t>
      </w:r>
      <w:r w:rsidR="00C01CF3">
        <w:t xml:space="preserve"> this fee category.  </w:t>
      </w:r>
      <w:r w:rsidR="00BC700A">
        <w:t xml:space="preserve">We will eliminate </w:t>
      </w:r>
      <w:r w:rsidR="00BC700A" w:rsidRPr="00F14F69">
        <w:t>annual</w:t>
      </w:r>
      <w:r w:rsidR="00BC700A" w:rsidRPr="00E4752A">
        <w:t xml:space="preserve"> </w:t>
      </w:r>
      <w:r w:rsidR="00BC700A">
        <w:t xml:space="preserve">regulatory fees for </w:t>
      </w:r>
      <w:r w:rsidR="00F41DA1">
        <w:t xml:space="preserve">satellite television construction permits, </w:t>
      </w:r>
      <w:r w:rsidR="0049029A">
        <w:t>beginning in FY 2015</w:t>
      </w:r>
      <w:r w:rsidR="00BC700A">
        <w:t xml:space="preserve"> because</w:t>
      </w:r>
      <w:r w:rsidR="0049029A">
        <w:t xml:space="preserve"> the Commission has not received any new applications or payments of regulatory fees for </w:t>
      </w:r>
      <w:r w:rsidR="00BC700A">
        <w:t xml:space="preserve">this </w:t>
      </w:r>
      <w:r w:rsidR="0049029A">
        <w:t>fee category</w:t>
      </w:r>
      <w:r w:rsidR="00DB30CA">
        <w:t xml:space="preserve"> </w:t>
      </w:r>
      <w:r w:rsidR="00BC700A">
        <w:t xml:space="preserve">in many years.  </w:t>
      </w:r>
      <w:r w:rsidR="00DB30CA">
        <w:t xml:space="preserve">We </w:t>
      </w:r>
      <w:r w:rsidR="00BC700A">
        <w:t xml:space="preserve">have also decided to eliminate </w:t>
      </w:r>
      <w:r w:rsidR="00DB30CA">
        <w:t xml:space="preserve">the </w:t>
      </w:r>
      <w:r w:rsidR="0049029A">
        <w:t>broadcast auxiliary fee category</w:t>
      </w:r>
      <w:r w:rsidR="00BC700A">
        <w:t xml:space="preserve"> beginning in FY 2015 </w:t>
      </w:r>
      <w:r w:rsidR="006667FB">
        <w:t xml:space="preserve">because the Commission </w:t>
      </w:r>
      <w:r w:rsidR="00B4253D">
        <w:t>s</w:t>
      </w:r>
      <w:r w:rsidR="006667FB">
        <w:t xml:space="preserve">pends </w:t>
      </w:r>
      <w:r w:rsidR="00B4253D">
        <w:t xml:space="preserve">more </w:t>
      </w:r>
      <w:r w:rsidR="006667FB">
        <w:t>resources in monitoring</w:t>
      </w:r>
      <w:r w:rsidR="00B4253D">
        <w:t xml:space="preserve"> and collecting these </w:t>
      </w:r>
      <w:r w:rsidR="005D51C8">
        <w:t xml:space="preserve">very small </w:t>
      </w:r>
      <w:r w:rsidR="00B4253D">
        <w:t>fees</w:t>
      </w:r>
      <w:r w:rsidR="005D51C8">
        <w:t xml:space="preserve"> </w:t>
      </w:r>
      <w:r w:rsidR="005D51C8" w:rsidRPr="00336251">
        <w:t>($10 in FY 2013)</w:t>
      </w:r>
      <w:r w:rsidR="00B4253D">
        <w:t xml:space="preserve"> than </w:t>
      </w:r>
      <w:r w:rsidR="00BC700A">
        <w:t>it collects.</w:t>
      </w:r>
      <w:r w:rsidR="00B4253D">
        <w:t xml:space="preserve">  </w:t>
      </w:r>
      <w:bookmarkStart w:id="38" w:name="_Toc394672309"/>
      <w:r w:rsidR="005D51C8">
        <w:t>After we e</w:t>
      </w:r>
      <w:r w:rsidR="00336251" w:rsidRPr="00336251">
        <w:t>liminat</w:t>
      </w:r>
      <w:r w:rsidR="005D51C8">
        <w:t>e</w:t>
      </w:r>
      <w:r w:rsidR="00336251" w:rsidRPr="00336251">
        <w:t xml:space="preserve"> the fee</w:t>
      </w:r>
      <w:r w:rsidR="00812E5E">
        <w:t>,</w:t>
      </w:r>
      <w:r w:rsidR="005D51C8">
        <w:t xml:space="preserve"> </w:t>
      </w:r>
      <w:r w:rsidR="00336251" w:rsidRPr="00336251">
        <w:t xml:space="preserve">licensees will no longer be burdened administratively and financially to identify each of their call signs </w:t>
      </w:r>
      <w:r w:rsidR="00F14F69">
        <w:t xml:space="preserve">and </w:t>
      </w:r>
      <w:r w:rsidR="005D51C8">
        <w:t xml:space="preserve">to </w:t>
      </w:r>
      <w:r w:rsidR="00F14F69">
        <w:t>submit payment.  Finally</w:t>
      </w:r>
      <w:r w:rsidR="00336251" w:rsidRPr="00336251">
        <w:t xml:space="preserve">, </w:t>
      </w:r>
      <w:r w:rsidR="005D51C8">
        <w:t xml:space="preserve">eliminating this fee category </w:t>
      </w:r>
      <w:r w:rsidR="00336251" w:rsidRPr="00336251">
        <w:t xml:space="preserve">benefits the Commission because it will no longer have to devote resources to associate each of the 27,000 call signs with the primary station of ownership.  </w:t>
      </w:r>
    </w:p>
    <w:p w:rsidR="0017182A" w:rsidRDefault="0017182A" w:rsidP="0017182A">
      <w:pPr>
        <w:pStyle w:val="Heading2"/>
      </w:pPr>
      <w:bookmarkStart w:id="39" w:name="_Toc391364432"/>
      <w:bookmarkStart w:id="40" w:name="_Toc397078321"/>
      <w:r>
        <w:t>New</w:t>
      </w:r>
      <w:r w:rsidR="0012317D">
        <w:t xml:space="preserve"> Regulatory Fee Categories—Toll </w:t>
      </w:r>
      <w:r>
        <w:t>Free Numbers</w:t>
      </w:r>
      <w:bookmarkEnd w:id="39"/>
      <w:bookmarkEnd w:id="40"/>
    </w:p>
    <w:p w:rsidR="00F90FEF" w:rsidRDefault="00E7587D" w:rsidP="00F15C95">
      <w:pPr>
        <w:pStyle w:val="ParaNum"/>
      </w:pPr>
      <w:r>
        <w:t xml:space="preserve">Toll </w:t>
      </w:r>
      <w:r w:rsidRPr="004F3FEC">
        <w:t xml:space="preserve">free numbers allow callers to reach </w:t>
      </w:r>
      <w:r>
        <w:t xml:space="preserve">the called party </w:t>
      </w:r>
      <w:r w:rsidRPr="004F3FEC">
        <w:t>without being charged for the call</w:t>
      </w:r>
      <w:r>
        <w:t>; instead t</w:t>
      </w:r>
      <w:r w:rsidRPr="004F3FEC">
        <w:t xml:space="preserve">he charge for </w:t>
      </w:r>
      <w:r>
        <w:t>the call i</w:t>
      </w:r>
      <w:r w:rsidRPr="004F3FEC">
        <w:t>s paid by the called party (the toll free subscrib</w:t>
      </w:r>
      <w:r>
        <w:t>er)</w:t>
      </w:r>
      <w:r w:rsidRPr="004F3FEC">
        <w:t>.</w:t>
      </w:r>
      <w:r>
        <w:rPr>
          <w:rStyle w:val="FootnoteReference"/>
        </w:rPr>
        <w:footnoteReference w:id="73"/>
      </w:r>
      <w:r w:rsidRPr="004F3FEC">
        <w:t xml:space="preserve"> </w:t>
      </w:r>
      <w:r>
        <w:t xml:space="preserve"> </w:t>
      </w:r>
      <w:r w:rsidR="007C38E2">
        <w:t>Toll free numbers, as defined in section 52.101(f) of our rules,</w:t>
      </w:r>
      <w:r w:rsidR="007C38E2">
        <w:rPr>
          <w:rStyle w:val="FootnoteReference"/>
        </w:rPr>
        <w:footnoteReference w:id="74"/>
      </w:r>
      <w:r w:rsidR="007C38E2">
        <w:t xml:space="preserve"> are not currently subject to regulatory fees.  </w:t>
      </w:r>
      <w:r w:rsidR="00F90FEF">
        <w:t>Historically, the Commission has not a</w:t>
      </w:r>
      <w:r w:rsidR="0012317D">
        <w:t xml:space="preserve">ssessed regulatory fees on toll </w:t>
      </w:r>
      <w:r w:rsidR="00F90FEF">
        <w:t xml:space="preserve">free numbers under the rationale that the entities controlling the numbers, wireline and wireless carriers, were paying regulatory fees based on </w:t>
      </w:r>
      <w:r w:rsidR="00F90FEF">
        <w:lastRenderedPageBreak/>
        <w:t>either revenues or subscribers.</w:t>
      </w:r>
      <w:r w:rsidR="00F90FEF">
        <w:rPr>
          <w:rStyle w:val="FootnoteReference"/>
        </w:rPr>
        <w:footnoteReference w:id="75"/>
      </w:r>
      <w:r w:rsidR="00F90FEF">
        <w:t xml:space="preserve">  In the </w:t>
      </w:r>
      <w:r w:rsidR="00F90FEF" w:rsidRPr="008D7677">
        <w:rPr>
          <w:i/>
        </w:rPr>
        <w:t xml:space="preserve">FY 2014 </w:t>
      </w:r>
      <w:r w:rsidR="00F90FEF">
        <w:rPr>
          <w:i/>
        </w:rPr>
        <w:t>NPRM</w:t>
      </w:r>
      <w:r w:rsidR="00F90FEF">
        <w:t>,</w:t>
      </w:r>
      <w:r w:rsidR="00F90FEF">
        <w:rPr>
          <w:rStyle w:val="FootnoteReference"/>
        </w:rPr>
        <w:footnoteReference w:id="76"/>
      </w:r>
      <w:r w:rsidR="00F90FEF">
        <w:t xml:space="preserve"> we recognized this may no longer be a realistic assumption as there appear to be many toll</w:t>
      </w:r>
      <w:r w:rsidR="007C38E2">
        <w:t xml:space="preserve"> </w:t>
      </w:r>
      <w:r w:rsidR="00F90FEF">
        <w:t>free numbers controlled or managed by entities, Responsible Organizations</w:t>
      </w:r>
      <w:r w:rsidR="005011BE">
        <w:t xml:space="preserve"> or RespOrgs</w:t>
      </w:r>
      <w:r w:rsidR="00F90FEF">
        <w:t>,</w:t>
      </w:r>
      <w:r w:rsidR="00F90FEF">
        <w:rPr>
          <w:rStyle w:val="FootnoteReference"/>
        </w:rPr>
        <w:footnoteReference w:id="77"/>
      </w:r>
      <w:r w:rsidR="00F90FEF">
        <w:t xml:space="preserve"> that in some cases are not carriers.  In the </w:t>
      </w:r>
      <w:r w:rsidR="00F90FEF" w:rsidRPr="00E96527">
        <w:rPr>
          <w:i/>
        </w:rPr>
        <w:t xml:space="preserve">FY 2014 </w:t>
      </w:r>
      <w:r w:rsidR="00F90FEF">
        <w:rPr>
          <w:i/>
        </w:rPr>
        <w:t>NPRM</w:t>
      </w:r>
      <w:r w:rsidR="00F90FEF">
        <w:t xml:space="preserve"> we sought comment on whether we should assess regulatory </w:t>
      </w:r>
      <w:r w:rsidR="0035753F">
        <w:t xml:space="preserve">fees on RespOrgs, for each toll </w:t>
      </w:r>
      <w:r w:rsidR="00F90FEF">
        <w:t>free number managed by a RespOrg.</w:t>
      </w:r>
      <w:r w:rsidR="00F90FEF">
        <w:rPr>
          <w:rStyle w:val="FootnoteReference"/>
        </w:rPr>
        <w:footnoteReference w:id="78"/>
      </w:r>
      <w:r w:rsidR="00F90FEF">
        <w:t xml:space="preserve">  </w:t>
      </w:r>
    </w:p>
    <w:p w:rsidR="00F65E57" w:rsidRDefault="00F65E57" w:rsidP="00EB72A2">
      <w:pPr>
        <w:pStyle w:val="ParaNum"/>
        <w:widowControl/>
      </w:pPr>
      <w:r>
        <w:t>We find that the Commission has the legal authority and responsibility to assess regulatory fees on toll free numbers</w:t>
      </w:r>
      <w:r>
        <w:rPr>
          <w:rStyle w:val="FootnoteReference"/>
        </w:rPr>
        <w:footnoteReference w:id="79"/>
      </w:r>
      <w:r>
        <w:t xml:space="preserve"> and we adopt a new fee category for toll free numbers in this proceeding.</w:t>
      </w:r>
      <w:r>
        <w:rPr>
          <w:rStyle w:val="FootnoteReference"/>
        </w:rPr>
        <w:footnoteReference w:id="80"/>
      </w:r>
      <w:r>
        <w:t xml:space="preserve">  The Commission has exclusive jurisdiction over “those portions of the North American Numbering Plan that pertain to the United States.”</w:t>
      </w:r>
      <w:r>
        <w:rPr>
          <w:rStyle w:val="FootnoteReference"/>
        </w:rPr>
        <w:footnoteReference w:id="81"/>
      </w:r>
      <w:r>
        <w:t xml:space="preserve">  Commission FTEs, primarily in the Wireline Competition Bureau and the Enforcement Bureau, devote work to toll free numbering issues and activities including enforcement activities,</w:t>
      </w:r>
      <w:r>
        <w:rPr>
          <w:rStyle w:val="FootnoteReference"/>
        </w:rPr>
        <w:footnoteReference w:id="82"/>
      </w:r>
      <w:r>
        <w:t xml:space="preserve"> rulemakings, and other policy making proceedings.</w:t>
      </w:r>
      <w:r>
        <w:rPr>
          <w:rStyle w:val="FootnoteReference"/>
        </w:rPr>
        <w:footnoteReference w:id="83"/>
      </w:r>
      <w:r>
        <w:t xml:space="preserve">  Because the Commission is required to devote its FTEs to toll number regulation, it is appropriate under section 9 of the Act to recover the associated costs.</w:t>
      </w:r>
      <w:r>
        <w:rPr>
          <w:rStyle w:val="FootnoteReference"/>
        </w:rPr>
        <w:footnoteReference w:id="84"/>
      </w:r>
      <w:r>
        <w:t xml:space="preserve">   Exercising our authority under section 9 to assess regulatory fees on toll free numbers also advances a fundamental purpose of  section 251(e)(1) of the Act, to ensure the efficient, fair, and orderly allocation of toll free numbers.</w:t>
      </w:r>
      <w:r>
        <w:rPr>
          <w:rStyle w:val="FootnoteReference"/>
        </w:rPr>
        <w:footnoteReference w:id="85"/>
      </w:r>
      <w:r>
        <w:t xml:space="preserve">  The Commission is empowered to ensure that toll free numbers, a valuable national public resource, are allocated in an equitable and orderly manner that serves the public interest.</w:t>
      </w:r>
      <w:r>
        <w:rPr>
          <w:rStyle w:val="FootnoteReference"/>
        </w:rPr>
        <w:footnoteReference w:id="86"/>
      </w:r>
      <w:r>
        <w:t xml:space="preserve">  </w:t>
      </w:r>
    </w:p>
    <w:p w:rsidR="00F65E57" w:rsidRPr="00A803E9" w:rsidRDefault="00F65E57" w:rsidP="00F15C95">
      <w:pPr>
        <w:pStyle w:val="ParaNum"/>
        <w:rPr>
          <w:color w:val="1F497D"/>
        </w:rPr>
      </w:pPr>
      <w:r>
        <w:t>Based on our evaluation, the FTEs involved in toll free issues are primarily from the Wireline Competition Bureau.</w:t>
      </w:r>
      <w:r>
        <w:rPr>
          <w:rStyle w:val="FootnoteReference"/>
        </w:rPr>
        <w:footnoteReference w:id="87"/>
      </w:r>
      <w:r>
        <w:t xml:space="preserve">  Accordingly, a regulatory fee assessed on toll free numbers reduces the </w:t>
      </w:r>
      <w:r>
        <w:lastRenderedPageBreak/>
        <w:t>ITSP regulatory fee total</w:t>
      </w:r>
      <w:r w:rsidR="00EF4E07">
        <w:t>; for example, if the total revenue requirement for toll free numbers had been four million dollars this year,</w:t>
      </w:r>
      <w:r w:rsidR="00C74227">
        <w:rPr>
          <w:rStyle w:val="FootnoteReference"/>
        </w:rPr>
        <w:footnoteReference w:id="88"/>
      </w:r>
      <w:r w:rsidR="00EF4E07">
        <w:t xml:space="preserve"> expected ITSP revenues would need only be $127,369,000 instead of $131,369,000 and the ITSP rate would need only be 0.00333 instead of 0.00343.  </w:t>
      </w:r>
      <w:r>
        <w:t>We, therefore, will assess regulatory fees on RespOrgs, for each toll free number managed by a RespOrg.</w:t>
      </w:r>
      <w:r>
        <w:rPr>
          <w:rStyle w:val="FootnoteReference"/>
        </w:rPr>
        <w:footnoteReference w:id="89"/>
      </w:r>
      <w:r>
        <w:t xml:space="preserve">  </w:t>
      </w:r>
      <w:r w:rsidRPr="007B65BD">
        <w:rPr>
          <w:szCs w:val="22"/>
        </w:rPr>
        <w:t>We clarify that the regulatory fee</w:t>
      </w:r>
      <w:r>
        <w:rPr>
          <w:szCs w:val="22"/>
        </w:rPr>
        <w:t>,</w:t>
      </w:r>
      <w:r w:rsidRPr="007B65BD">
        <w:rPr>
          <w:szCs w:val="22"/>
        </w:rPr>
        <w:t xml:space="preserve"> assessed </w:t>
      </w:r>
      <w:r>
        <w:rPr>
          <w:szCs w:val="22"/>
        </w:rPr>
        <w:t xml:space="preserve">on RespOrgs, </w:t>
      </w:r>
      <w:r w:rsidRPr="007B65BD">
        <w:rPr>
          <w:szCs w:val="22"/>
        </w:rPr>
        <w:t>for toll</w:t>
      </w:r>
      <w:r>
        <w:rPr>
          <w:szCs w:val="22"/>
        </w:rPr>
        <w:t xml:space="preserve"> </w:t>
      </w:r>
      <w:r w:rsidRPr="007B65BD">
        <w:rPr>
          <w:szCs w:val="22"/>
        </w:rPr>
        <w:t>free numbers is limited to toll</w:t>
      </w:r>
      <w:r>
        <w:rPr>
          <w:szCs w:val="22"/>
        </w:rPr>
        <w:t xml:space="preserve"> </w:t>
      </w:r>
      <w:r w:rsidRPr="007B65BD">
        <w:rPr>
          <w:szCs w:val="22"/>
        </w:rPr>
        <w:t>free numbers that are accessible within the United States.</w:t>
      </w:r>
      <w:r>
        <w:rPr>
          <w:rStyle w:val="FootnoteReference"/>
          <w:szCs w:val="22"/>
        </w:rPr>
        <w:footnoteReference w:id="90"/>
      </w:r>
      <w:r w:rsidRPr="007B65BD">
        <w:rPr>
          <w:szCs w:val="22"/>
        </w:rPr>
        <w:t xml:space="preserve"> </w:t>
      </w:r>
      <w:r>
        <w:rPr>
          <w:szCs w:val="22"/>
        </w:rPr>
        <w:t xml:space="preserve"> </w:t>
      </w:r>
      <w:r>
        <w:t xml:space="preserve"> </w:t>
      </w:r>
    </w:p>
    <w:p w:rsidR="0017182A" w:rsidRPr="008E1907" w:rsidRDefault="00634F93" w:rsidP="00F15C95">
      <w:pPr>
        <w:pStyle w:val="ParaNum"/>
        <w:rPr>
          <w:color w:val="1F497D"/>
        </w:rPr>
      </w:pPr>
      <w:r>
        <w:rPr>
          <w:szCs w:val="22"/>
        </w:rPr>
        <w:t>P</w:t>
      </w:r>
      <w:r>
        <w:t xml:space="preserve">arties requested greater clarity and outreach to promote awareness of why this </w:t>
      </w:r>
      <w:r w:rsidR="004A4279">
        <w:t>new fee category</w:t>
      </w:r>
      <w:r>
        <w:t xml:space="preserve"> may be needed, especially for RespOrgs that the commenters allege are not generally accustomed to being regulated or paying regulatory fees.</w:t>
      </w:r>
      <w:r>
        <w:rPr>
          <w:rStyle w:val="FootnoteReference"/>
        </w:rPr>
        <w:footnoteReference w:id="91"/>
      </w:r>
      <w:r>
        <w:t xml:space="preserve">  Consistent with past efforts by Commission staff to seek and obtain greater input concerning regulatory fee reform, we intend to engage </w:t>
      </w:r>
      <w:r w:rsidR="00500B6D">
        <w:t xml:space="preserve">and conduct outreach to promote awareness </w:t>
      </w:r>
      <w:r w:rsidR="004A4279">
        <w:t xml:space="preserve">of this new category and to promote discussion </w:t>
      </w:r>
      <w:r w:rsidR="00500B6D">
        <w:t>with interested parties</w:t>
      </w:r>
      <w:r>
        <w:t>.</w:t>
      </w:r>
      <w:r>
        <w:rPr>
          <w:rStyle w:val="FootnoteReference"/>
        </w:rPr>
        <w:footnoteReference w:id="92"/>
      </w:r>
      <w:r>
        <w:t xml:space="preserve">  </w:t>
      </w:r>
      <w:r w:rsidR="004A4279">
        <w:t xml:space="preserve"> There will be sufficient time for such activities because this change will not take effect until FY 2015.  It</w:t>
      </w:r>
      <w:r w:rsidR="0017182A" w:rsidRPr="008E1907">
        <w:rPr>
          <w:szCs w:val="22"/>
        </w:rPr>
        <w:t xml:space="preserve"> is a “permitted amendment” </w:t>
      </w:r>
      <w:r w:rsidR="00500B6D">
        <w:rPr>
          <w:szCs w:val="22"/>
        </w:rPr>
        <w:t>as defined in section 9(b)(3) of the Act, which</w:t>
      </w:r>
      <w:r w:rsidR="00B732CA">
        <w:rPr>
          <w:szCs w:val="22"/>
        </w:rPr>
        <w:t>,</w:t>
      </w:r>
      <w:r w:rsidR="00500B6D">
        <w:rPr>
          <w:szCs w:val="22"/>
        </w:rPr>
        <w:t xml:space="preserve"> pursuant to section 9(b)(4)(B</w:t>
      </w:r>
      <w:r w:rsidR="00B732CA">
        <w:rPr>
          <w:szCs w:val="22"/>
        </w:rPr>
        <w:t>,</w:t>
      </w:r>
      <w:r w:rsidR="00500B6D">
        <w:rPr>
          <w:szCs w:val="22"/>
        </w:rPr>
        <w:t xml:space="preserve"> must be submitted to Congress at least 90 days before it becomes effective</w:t>
      </w:r>
      <w:r w:rsidR="0017182A" w:rsidRPr="008E1907">
        <w:rPr>
          <w:szCs w:val="22"/>
        </w:rPr>
        <w:t>.</w:t>
      </w:r>
      <w:r w:rsidR="0017182A" w:rsidRPr="007F7B4B">
        <w:rPr>
          <w:rStyle w:val="FootnoteReference"/>
          <w:szCs w:val="22"/>
        </w:rPr>
        <w:footnoteReference w:id="93"/>
      </w:r>
      <w:r w:rsidR="00500B6D">
        <w:rPr>
          <w:szCs w:val="22"/>
        </w:rPr>
        <w:t xml:space="preserve">  The</w:t>
      </w:r>
      <w:r w:rsidR="004A4279">
        <w:rPr>
          <w:szCs w:val="22"/>
        </w:rPr>
        <w:t xml:space="preserve">refore, because the </w:t>
      </w:r>
      <w:r w:rsidR="00500B6D">
        <w:rPr>
          <w:szCs w:val="22"/>
        </w:rPr>
        <w:t xml:space="preserve">Commission will not have sufficient time to </w:t>
      </w:r>
      <w:r w:rsidR="004A4279">
        <w:rPr>
          <w:szCs w:val="22"/>
        </w:rPr>
        <w:t>provide 90 days</w:t>
      </w:r>
      <w:r w:rsidR="00AF7766">
        <w:rPr>
          <w:szCs w:val="22"/>
        </w:rPr>
        <w:t>’</w:t>
      </w:r>
      <w:r w:rsidR="004A4279">
        <w:rPr>
          <w:szCs w:val="22"/>
        </w:rPr>
        <w:t xml:space="preserve"> notice before </w:t>
      </w:r>
      <w:r w:rsidR="00500B6D">
        <w:rPr>
          <w:szCs w:val="22"/>
        </w:rPr>
        <w:t xml:space="preserve">September 30, 2014 </w:t>
      </w:r>
      <w:r w:rsidR="004A4279">
        <w:rPr>
          <w:szCs w:val="22"/>
        </w:rPr>
        <w:t>we</w:t>
      </w:r>
      <w:r w:rsidR="00500B6D">
        <w:rPr>
          <w:szCs w:val="22"/>
        </w:rPr>
        <w:t xml:space="preserve"> will </w:t>
      </w:r>
      <w:r w:rsidR="004A4279">
        <w:rPr>
          <w:szCs w:val="22"/>
        </w:rPr>
        <w:t xml:space="preserve">not </w:t>
      </w:r>
      <w:r w:rsidR="00500B6D">
        <w:rPr>
          <w:szCs w:val="22"/>
        </w:rPr>
        <w:t xml:space="preserve">implement this change </w:t>
      </w:r>
      <w:r w:rsidR="004A4279">
        <w:rPr>
          <w:szCs w:val="22"/>
        </w:rPr>
        <w:t>until</w:t>
      </w:r>
      <w:r w:rsidR="00500B6D">
        <w:rPr>
          <w:szCs w:val="22"/>
        </w:rPr>
        <w:t xml:space="preserve"> FY 2015.</w:t>
      </w:r>
    </w:p>
    <w:p w:rsidR="00ED2FF5" w:rsidRDefault="00631663" w:rsidP="00F97911">
      <w:pPr>
        <w:pStyle w:val="Heading2"/>
      </w:pPr>
      <w:bookmarkStart w:id="41" w:name="_Toc397078322"/>
      <w:r>
        <w:t>Additional Regulatory Fee Reform</w:t>
      </w:r>
      <w:bookmarkEnd w:id="38"/>
      <w:bookmarkEnd w:id="41"/>
    </w:p>
    <w:p w:rsidR="00C8211F" w:rsidRDefault="003D4EA3" w:rsidP="00F15C95">
      <w:pPr>
        <w:pStyle w:val="ParaNum"/>
      </w:pPr>
      <w:r>
        <w:t xml:space="preserve">In the </w:t>
      </w:r>
      <w:r w:rsidRPr="00841A33">
        <w:rPr>
          <w:i/>
        </w:rPr>
        <w:t xml:space="preserve">FY 2014 </w:t>
      </w:r>
      <w:r w:rsidR="00920649" w:rsidRPr="00841A33">
        <w:rPr>
          <w:i/>
        </w:rPr>
        <w:t>NPRM</w:t>
      </w:r>
      <w:r>
        <w:t xml:space="preserve"> we sought </w:t>
      </w:r>
      <w:r w:rsidRPr="00A438CD">
        <w:t xml:space="preserve">comment on ways </w:t>
      </w:r>
      <w:r>
        <w:t xml:space="preserve">to further improve </w:t>
      </w:r>
      <w:r w:rsidRPr="00A438CD">
        <w:t xml:space="preserve">our regulatory fee process </w:t>
      </w:r>
      <w:r>
        <w:t>to make it</w:t>
      </w:r>
      <w:r w:rsidRPr="00A438CD">
        <w:t xml:space="preserve"> less burdensome for all entities</w:t>
      </w:r>
      <w:r>
        <w:t>, specifically smaller entities.</w:t>
      </w:r>
      <w:r>
        <w:rPr>
          <w:rStyle w:val="FootnoteReference"/>
        </w:rPr>
        <w:footnoteReference w:id="94"/>
      </w:r>
      <w:r>
        <w:t xml:space="preserve">  </w:t>
      </w:r>
      <w:r w:rsidR="00645FC8">
        <w:t>We note that t</w:t>
      </w:r>
      <w:r>
        <w:t>he Commission is currently seeking comment on Commission-wide “Process Reform</w:t>
      </w:r>
      <w:r w:rsidR="00645FC8">
        <w:t>,</w:t>
      </w:r>
      <w:r>
        <w:t>”</w:t>
      </w:r>
      <w:r>
        <w:rPr>
          <w:rStyle w:val="FootnoteReference"/>
        </w:rPr>
        <w:footnoteReference w:id="95"/>
      </w:r>
      <w:r w:rsidR="00645FC8">
        <w:t xml:space="preserve"> and we </w:t>
      </w:r>
      <w:r w:rsidR="002A5068">
        <w:t xml:space="preserve">plan to </w:t>
      </w:r>
      <w:r w:rsidR="00645FC8">
        <w:t>adopt reforms to the regulatory fee process in conjunction with the Process Reform initiative.</w:t>
      </w:r>
      <w:r>
        <w:t xml:space="preserve">  </w:t>
      </w:r>
      <w:bookmarkStart w:id="42" w:name="_Toc351572423"/>
      <w:bookmarkEnd w:id="42"/>
      <w:r w:rsidR="002A5068">
        <w:t>In particular, the Managing Director has place</w:t>
      </w:r>
      <w:r w:rsidR="005C2F4D">
        <w:t>d</w:t>
      </w:r>
      <w:r w:rsidR="002A5068">
        <w:t xml:space="preserve"> regulatory fee waiver decisions on the </w:t>
      </w:r>
      <w:r w:rsidR="00E1566F">
        <w:t xml:space="preserve">Commission’s </w:t>
      </w:r>
      <w:r w:rsidR="002A5068">
        <w:t>website so that they are accessible to the public.</w:t>
      </w:r>
      <w:r w:rsidR="005C2F4D">
        <w:rPr>
          <w:rStyle w:val="FootnoteReference"/>
        </w:rPr>
        <w:footnoteReference w:id="96"/>
      </w:r>
      <w:r w:rsidR="002A5068">
        <w:t xml:space="preserve">  </w:t>
      </w:r>
      <w:r w:rsidR="00CC475A">
        <w:t xml:space="preserve">Although the decisions are </w:t>
      </w:r>
      <w:r w:rsidR="004B32F0">
        <w:t xml:space="preserve">specifically </w:t>
      </w:r>
      <w:r w:rsidR="00CC475A">
        <w:t xml:space="preserve">applicable only to the parties involved, these letters can be helpful in providing guidance to all waiver applicants </w:t>
      </w:r>
      <w:r w:rsidR="003A48D9">
        <w:t>regarding the</w:t>
      </w:r>
      <w:r w:rsidR="00CC475A">
        <w:t xml:space="preserve"> requirements </w:t>
      </w:r>
      <w:r w:rsidR="003A48D9">
        <w:t>of our</w:t>
      </w:r>
      <w:r w:rsidR="00CC475A">
        <w:t xml:space="preserve"> rules.</w:t>
      </w:r>
      <w:r w:rsidR="00CA322E">
        <w:t xml:space="preserve">  </w:t>
      </w:r>
      <w:r w:rsidR="0070775B">
        <w:t xml:space="preserve">The Managing Director has also initiated a complete review of the </w:t>
      </w:r>
      <w:r w:rsidR="005C2F4D">
        <w:t>Commission’s</w:t>
      </w:r>
      <w:r w:rsidR="0070775B">
        <w:t xml:space="preserve"> regulatory fee webpage with the objective of improving access to other regulatory fee payment information.  </w:t>
      </w:r>
      <w:r w:rsidR="00CA322E">
        <w:t xml:space="preserve">The Managing Director </w:t>
      </w:r>
      <w:r w:rsidR="00E1566F">
        <w:t xml:space="preserve">is directed to </w:t>
      </w:r>
      <w:r w:rsidR="00CA322E">
        <w:t>provide details on other improvements in a subsequent public notice.</w:t>
      </w:r>
      <w:r w:rsidR="00B50492">
        <w:t xml:space="preserve"> </w:t>
      </w:r>
    </w:p>
    <w:p w:rsidR="001A3589" w:rsidRDefault="001A3589" w:rsidP="001A3589">
      <w:pPr>
        <w:pStyle w:val="Heading2"/>
      </w:pPr>
      <w:bookmarkStart w:id="43" w:name="_Toc394672310"/>
      <w:bookmarkStart w:id="44" w:name="_Toc397078323"/>
      <w:bookmarkStart w:id="45" w:name="_Toc351484758"/>
      <w:bookmarkStart w:id="46" w:name="_Toc351484804"/>
      <w:bookmarkStart w:id="47" w:name="_Toc351484946"/>
      <w:bookmarkStart w:id="48" w:name="_Toc351571062"/>
      <w:r>
        <w:lastRenderedPageBreak/>
        <w:t>Other Issues</w:t>
      </w:r>
      <w:bookmarkEnd w:id="43"/>
      <w:bookmarkEnd w:id="44"/>
    </w:p>
    <w:p w:rsidR="0034153B" w:rsidRPr="0034153B" w:rsidRDefault="0034153B" w:rsidP="00F15C95">
      <w:pPr>
        <w:pStyle w:val="ParaNum"/>
      </w:pPr>
      <w:r>
        <w:t>One of the significant measures adopted in</w:t>
      </w:r>
      <w:r w:rsidR="00567F30">
        <w:t xml:space="preserve"> the FY 2013</w:t>
      </w:r>
      <w:r>
        <w:t xml:space="preserve"> regulatory fee reform process was updating the FTE allocations and allocating a portion of the International Bureau FTEs as indirect FTEs.</w:t>
      </w:r>
      <w:r>
        <w:rPr>
          <w:rStyle w:val="FootnoteReference"/>
        </w:rPr>
        <w:footnoteReference w:id="97"/>
      </w:r>
      <w:r>
        <w:t xml:space="preserve">  We reallocated some FTEs from the International Bureau as indirect FTEs because the work those FTEs perform is for the Commission as a whole, rather than for a particular group of regulatees.</w:t>
      </w:r>
      <w:r>
        <w:rPr>
          <w:rStyle w:val="FootnoteReference"/>
        </w:rPr>
        <w:footnoteReference w:id="98"/>
      </w:r>
      <w:r>
        <w:t xml:space="preserve">  In the </w:t>
      </w:r>
      <w:r w:rsidRPr="00DF36FB">
        <w:rPr>
          <w:i/>
        </w:rPr>
        <w:t>FY 2014 NPRM</w:t>
      </w:r>
      <w:r>
        <w:t>, we sought comment on additional FTE reallocations</w:t>
      </w:r>
      <w:r>
        <w:rPr>
          <w:i/>
        </w:rPr>
        <w:t>.</w:t>
      </w:r>
      <w:r>
        <w:t xml:space="preserve">  We recognize that reallocating FTEs from a core bureau as indirect, or from a non-core bureau as direct, could better align regulatory fees with the costs of regulation.  In this Report and Order we do not adopt further FTE reallocations</w:t>
      </w:r>
      <w:r w:rsidR="00567F30">
        <w:t>.  Rather</w:t>
      </w:r>
      <w:r>
        <w:t>, as discuss</w:t>
      </w:r>
      <w:r w:rsidR="00567F30">
        <w:t>ed</w:t>
      </w:r>
      <w:r>
        <w:t xml:space="preserve"> below, we</w:t>
      </w:r>
      <w:r w:rsidR="00433441">
        <w:t xml:space="preserve"> find</w:t>
      </w:r>
      <w:r w:rsidR="005D51C8">
        <w:t xml:space="preserve"> that</w:t>
      </w:r>
      <w:r w:rsidR="00433441">
        <w:t xml:space="preserve"> additional information and examination is needed to better underst</w:t>
      </w:r>
      <w:r w:rsidR="001E5F86">
        <w:t xml:space="preserve">and, at a more granular level, </w:t>
      </w:r>
      <w:r w:rsidR="00433441">
        <w:t xml:space="preserve">the </w:t>
      </w:r>
      <w:r w:rsidR="00BB3F53">
        <w:t xml:space="preserve">number of </w:t>
      </w:r>
      <w:r w:rsidR="00433441">
        <w:t>FTE</w:t>
      </w:r>
      <w:r w:rsidR="00BB3F53">
        <w:t xml:space="preserve">s performing work related to the </w:t>
      </w:r>
      <w:r w:rsidR="005D51C8">
        <w:t xml:space="preserve">various types of </w:t>
      </w:r>
      <w:r w:rsidR="00433441">
        <w:t xml:space="preserve">regulatees throughout the communications industry.  In particular, </w:t>
      </w:r>
      <w:r w:rsidR="00864EBF">
        <w:t xml:space="preserve">the work of </w:t>
      </w:r>
      <w:r>
        <w:t xml:space="preserve">the Wireline Competition Bureau, Wireless Telecommunications Bureau, and Media Bureau </w:t>
      </w:r>
      <w:r w:rsidR="00864EBF">
        <w:t>has</w:t>
      </w:r>
      <w:r>
        <w:t>, in many cases, converged over time and their regulation</w:t>
      </w:r>
      <w:r w:rsidR="00864EBF">
        <w:t xml:space="preserve"> of various types of regulatees</w:t>
      </w:r>
      <w:r>
        <w:t xml:space="preserve"> involves similar issues and generates common Commission costs.</w:t>
      </w:r>
      <w:r>
        <w:rPr>
          <w:rStyle w:val="FootnoteReference"/>
        </w:rPr>
        <w:footnoteReference w:id="99"/>
      </w:r>
      <w:r>
        <w:t xml:space="preserve">  In addition, we have seen an increase in </w:t>
      </w:r>
      <w:r w:rsidR="00864EBF">
        <w:t xml:space="preserve">the number of </w:t>
      </w:r>
      <w:r>
        <w:t xml:space="preserve">wireless subscribers and a decrease in wireline (switched access lines and interconnected </w:t>
      </w:r>
      <w:r w:rsidR="00FD036C">
        <w:t>Voice over Internet Protocol (</w:t>
      </w:r>
      <w:r>
        <w:t>VoIP</w:t>
      </w:r>
      <w:r w:rsidR="00FD036C">
        <w:t>)</w:t>
      </w:r>
      <w:r>
        <w:t>, together) subscribers.</w:t>
      </w:r>
      <w:r>
        <w:rPr>
          <w:rStyle w:val="FootnoteReference"/>
        </w:rPr>
        <w:footnoteReference w:id="100"/>
      </w:r>
      <w:r>
        <w:t xml:space="preserve">  From June 2011 to June 201</w:t>
      </w:r>
      <w:r w:rsidR="00833D42">
        <w:t>4</w:t>
      </w:r>
      <w:r>
        <w:t xml:space="preserve"> wireless subscribers have increased from 29</w:t>
      </w:r>
      <w:r w:rsidR="00833D42">
        <w:t>8 million to 33</w:t>
      </w:r>
      <w:r>
        <w:t>5 million, while the total wireline access lines (switched access lines and VoIP subscriptions, together) have decreased from 146 million to 135 million.</w:t>
      </w:r>
      <w:r>
        <w:rPr>
          <w:rStyle w:val="FootnoteReference"/>
        </w:rPr>
        <w:footnoteReference w:id="101"/>
      </w:r>
      <w:r>
        <w:t xml:space="preserve">  Fewer wireline customers over time may result in disproportionately higher regulatory fees for the ITSP industry.  Also, a growth in segments of the industry that do not pay regulatory fees can also increase the regulatory fee burden on the remaining industries.  For these </w:t>
      </w:r>
      <w:r w:rsidR="003A48D9">
        <w:t>reasons</w:t>
      </w:r>
      <w:r w:rsidR="000D6B01">
        <w:t>,</w:t>
      </w:r>
      <w:r w:rsidR="003A48D9">
        <w:t xml:space="preserve"> Commission</w:t>
      </w:r>
      <w:r w:rsidR="00433441">
        <w:t xml:space="preserve"> staff will continue its analysis of these issues and we intend to seek further comment </w:t>
      </w:r>
      <w:r w:rsidR="009C035B">
        <w:t xml:space="preserve">on </w:t>
      </w:r>
      <w:r w:rsidR="00433441">
        <w:t>reallocation proposals in future regulatory proceedings.</w:t>
      </w:r>
    </w:p>
    <w:p w:rsidR="001A3589" w:rsidRDefault="001A3589" w:rsidP="00F15C95">
      <w:pPr>
        <w:pStyle w:val="ParaNum"/>
      </w:pPr>
      <w:r>
        <w:t xml:space="preserve">In the </w:t>
      </w:r>
      <w:r w:rsidRPr="002107EF">
        <w:rPr>
          <w:i/>
        </w:rPr>
        <w:t>FY 2014 NPRM</w:t>
      </w:r>
      <w:r>
        <w:t>,</w:t>
      </w:r>
      <w:r w:rsidRPr="002107EF">
        <w:rPr>
          <w:i/>
        </w:rPr>
        <w:t xml:space="preserve"> </w:t>
      </w:r>
      <w:r>
        <w:t xml:space="preserve">we </w:t>
      </w:r>
      <w:r w:rsidR="00B50492">
        <w:t xml:space="preserve">specifically </w:t>
      </w:r>
      <w:r>
        <w:t xml:space="preserve">sought comment on </w:t>
      </w:r>
      <w:r w:rsidR="002616BB">
        <w:t xml:space="preserve">a proposal from SIA to </w:t>
      </w:r>
      <w:r>
        <w:t>reallocat</w:t>
      </w:r>
      <w:r w:rsidR="002616BB">
        <w:t>e</w:t>
      </w:r>
      <w:r>
        <w:t xml:space="preserve"> FTEs from the Enforcement Bureau and the Consumer &amp; Governmental Affairs Bureau</w:t>
      </w:r>
      <w:r w:rsidR="00864EBF">
        <w:t xml:space="preserve"> to other bureaus</w:t>
      </w:r>
      <w:r>
        <w:t>.</w:t>
      </w:r>
      <w:r>
        <w:rPr>
          <w:rStyle w:val="FootnoteReference"/>
        </w:rPr>
        <w:footnoteReference w:id="102"/>
      </w:r>
      <w:r>
        <w:t xml:space="preserve">  SIA</w:t>
      </w:r>
      <w:r w:rsidR="002616BB">
        <w:t xml:space="preserve"> contends </w:t>
      </w:r>
      <w:r>
        <w:t xml:space="preserve">that the FTEs in these two non-core bureaus are focused on certain regulatees or licensees and </w:t>
      </w:r>
      <w:r w:rsidR="008B17C8">
        <w:t xml:space="preserve">therefore should </w:t>
      </w:r>
      <w:r>
        <w:t>not be allocated proportionally to all the core bureaus as indirect FTEs but should be allocated directly to</w:t>
      </w:r>
      <w:r w:rsidR="00A00B1D">
        <w:t xml:space="preserve"> the Wireline, Media, and </w:t>
      </w:r>
      <w:r w:rsidR="008A3762">
        <w:t>Wireless b</w:t>
      </w:r>
      <w:r w:rsidR="00A00B1D">
        <w:t>ureaus</w:t>
      </w:r>
      <w:r>
        <w:t>.</w:t>
      </w:r>
      <w:r>
        <w:rPr>
          <w:rStyle w:val="FootnoteReference"/>
        </w:rPr>
        <w:footnoteReference w:id="103"/>
      </w:r>
      <w:r>
        <w:t xml:space="preserve">  For example, the FTEs in the regional and field offices of the Enforcement Bureau primarily investigate issues involving wireless and broadcast licensees; </w:t>
      </w:r>
      <w:r w:rsidR="00990D04">
        <w:t xml:space="preserve">however, this division has </w:t>
      </w:r>
      <w:r>
        <w:t>one FTE responsible for satellite interference issues</w:t>
      </w:r>
      <w:r w:rsidR="00864EBF">
        <w:t>,</w:t>
      </w:r>
      <w:r>
        <w:t xml:space="preserve"> and may</w:t>
      </w:r>
      <w:r w:rsidR="00B63549">
        <w:t xml:space="preserve"> also</w:t>
      </w:r>
      <w:r>
        <w:t xml:space="preserve"> be involved in wireline issues in </w:t>
      </w:r>
      <w:r w:rsidR="000D6B01">
        <w:t xml:space="preserve">the course of </w:t>
      </w:r>
      <w:r>
        <w:t xml:space="preserve">disaster relief efforts.  </w:t>
      </w:r>
      <w:r w:rsidR="006D3545">
        <w:t>A</w:t>
      </w:r>
      <w:r>
        <w:t>s a whole, the Enforcement Bureau</w:t>
      </w:r>
      <w:r w:rsidR="00864EBF">
        <w:rPr>
          <w:rStyle w:val="FootnoteReference"/>
        </w:rPr>
        <w:footnoteReference w:id="104"/>
      </w:r>
      <w:r>
        <w:t xml:space="preserve"> and the Consumer &amp; Governmental Affairs Bureau FTEs </w:t>
      </w:r>
      <w:r w:rsidR="00864EBF">
        <w:lastRenderedPageBreak/>
        <w:t xml:space="preserve">devote a small portion of their </w:t>
      </w:r>
      <w:r w:rsidR="00E1566F">
        <w:t>time</w:t>
      </w:r>
      <w:r w:rsidR="00864EBF">
        <w:t xml:space="preserve"> to </w:t>
      </w:r>
      <w:r>
        <w:t>international bureau licensee issues.  For that reason, we find that the record does not support reallocating these indirect Enforcement Bureau and Consumer &amp; Governmental Affairs Bureau FTEs</w:t>
      </w:r>
      <w:r w:rsidR="00A00B1D">
        <w:t xml:space="preserve"> to the Wireline, Enforcement, and Wireless Bureaus</w:t>
      </w:r>
      <w:r>
        <w:t xml:space="preserve"> at this time.</w:t>
      </w:r>
      <w:r>
        <w:rPr>
          <w:rStyle w:val="FootnoteReference"/>
        </w:rPr>
        <w:footnoteReference w:id="105"/>
      </w:r>
      <w:r>
        <w:t xml:space="preserve">  </w:t>
      </w:r>
    </w:p>
    <w:p w:rsidR="001A3589" w:rsidRDefault="001A3589" w:rsidP="00F15C95">
      <w:pPr>
        <w:pStyle w:val="ParaNum"/>
      </w:pPr>
      <w:r>
        <w:t>We also sought comment on reallocating the FTEs from the</w:t>
      </w:r>
      <w:r w:rsidRPr="003356EC">
        <w:t xml:space="preserve"> </w:t>
      </w:r>
      <w:r>
        <w:t xml:space="preserve">Commission’s </w:t>
      </w:r>
      <w:r w:rsidRPr="003356EC">
        <w:t>Office of E</w:t>
      </w:r>
      <w:r>
        <w:t>ngineering and Technology.</w:t>
      </w:r>
      <w:r>
        <w:rPr>
          <w:rStyle w:val="FootnoteReference"/>
        </w:rPr>
        <w:footnoteReference w:id="106"/>
      </w:r>
      <w:r>
        <w:t xml:space="preserve">  This office is primarily involved in </w:t>
      </w:r>
      <w:r w:rsidR="008B17C8">
        <w:t xml:space="preserve">work related to </w:t>
      </w:r>
      <w:r>
        <w:t xml:space="preserve">spectrum issues.  For example, the office </w:t>
      </w:r>
      <w:r w:rsidRPr="003356EC">
        <w:t>advises the Commission on technical and engineering matters, develops and administers Commission decisions regarding spectrum allocations, develops technical rules for the operation of unlicensed radio devices, authorizes the marketing of radio frequency devices as compliant with Commission technical rules, grants experimental radio licenses, and is the agency’s liaison to the National Telecommunications and I</w:t>
      </w:r>
      <w:r>
        <w:t xml:space="preserve">nformation Administration.  After reviewing the record, we are not </w:t>
      </w:r>
      <w:r w:rsidR="008B17C8">
        <w:t xml:space="preserve">persuaded </w:t>
      </w:r>
      <w:r>
        <w:t>that reallocation of these indirect FTEs as direct FTEs to certain bureaus is appropriate at this time; however, we will continue to develop the record for possible implementation in the future.</w:t>
      </w:r>
      <w:r>
        <w:rPr>
          <w:rStyle w:val="FootnoteReference"/>
        </w:rPr>
        <w:footnoteReference w:id="107"/>
      </w:r>
      <w:r>
        <w:t xml:space="preserve"> </w:t>
      </w:r>
      <w:r w:rsidR="009C035B">
        <w:t xml:space="preserve">  </w:t>
      </w:r>
    </w:p>
    <w:p w:rsidR="00CB4E61" w:rsidRDefault="006876B2" w:rsidP="00405C8B">
      <w:pPr>
        <w:pStyle w:val="ParaNum"/>
        <w:widowControl/>
      </w:pPr>
      <w:r>
        <w:t>As a result, t</w:t>
      </w:r>
      <w:r w:rsidR="001A3589">
        <w:t xml:space="preserve">he various reallocation proposals discussed in the </w:t>
      </w:r>
      <w:r w:rsidR="001A3589" w:rsidRPr="00EA37B4">
        <w:rPr>
          <w:i/>
        </w:rPr>
        <w:t>FY 2014 NPRM</w:t>
      </w:r>
      <w:r w:rsidR="001A3589">
        <w:t xml:space="preserve"> regarding the Enforcement Bureau, the Consumer &amp; Governmental Affairs Bureau, and the Office of Engineering and Technology require further review.  </w:t>
      </w:r>
      <w:r>
        <w:t>We therefore intend to conduct a more in</w:t>
      </w:r>
      <w:r w:rsidR="00E1566F">
        <w:t>-</w:t>
      </w:r>
      <w:r>
        <w:t>depth</w:t>
      </w:r>
      <w:r w:rsidR="00E1566F">
        <w:t>,</w:t>
      </w:r>
      <w:r>
        <w:t xml:space="preserve"> fact</w:t>
      </w:r>
      <w:r w:rsidR="00E1566F">
        <w:t>-</w:t>
      </w:r>
      <w:r>
        <w:t xml:space="preserve">based examination of the work of the FTEs in these bureaus and offices and the regulatees benefited by their work.  Such </w:t>
      </w:r>
      <w:r w:rsidR="003A48D9">
        <w:t>analysis</w:t>
      </w:r>
      <w:r>
        <w:t xml:space="preserve"> will be incorporated into any future notice of proposed rulemaking concerning regulatory fee allocations in order to determine whether </w:t>
      </w:r>
      <w:r w:rsidR="002F2508">
        <w:t>reallocation is appropriate</w:t>
      </w:r>
      <w:r w:rsidR="00186588">
        <w:t>.</w:t>
      </w:r>
      <w:r w:rsidR="001A3589">
        <w:t xml:space="preserve">  </w:t>
      </w:r>
    </w:p>
    <w:p w:rsidR="005C4DA1" w:rsidRPr="00CB4E61" w:rsidRDefault="001A3589" w:rsidP="00F15C95">
      <w:pPr>
        <w:pStyle w:val="ParaNum"/>
      </w:pPr>
      <w:r>
        <w:t xml:space="preserve">We also note that other </w:t>
      </w:r>
      <w:r w:rsidR="002F2508">
        <w:t>proposals</w:t>
      </w:r>
      <w:r>
        <w:t xml:space="preserve"> discussed in the </w:t>
      </w:r>
      <w:r w:rsidRPr="00CB4E61">
        <w:rPr>
          <w:i/>
        </w:rPr>
        <w:t>FY 2014 NPRM</w:t>
      </w:r>
      <w:r>
        <w:t>, e.g., a per subscriber charge for DBS,</w:t>
      </w:r>
      <w:r>
        <w:rPr>
          <w:rStyle w:val="FootnoteReference"/>
        </w:rPr>
        <w:footnoteReference w:id="108"/>
      </w:r>
      <w:r>
        <w:t xml:space="preserve"> adding a fee category for non-U.S.-licensed space stations,</w:t>
      </w:r>
      <w:r>
        <w:rPr>
          <w:rStyle w:val="FootnoteReference"/>
        </w:rPr>
        <w:footnoteReference w:id="109"/>
      </w:r>
      <w:r>
        <w:t xml:space="preserve"> </w:t>
      </w:r>
      <w:r w:rsidR="006E6138">
        <w:t xml:space="preserve">and </w:t>
      </w:r>
      <w:r>
        <w:t>combining the ITSP category with wireless,</w:t>
      </w:r>
      <w:r>
        <w:rPr>
          <w:rStyle w:val="FootnoteReference"/>
        </w:rPr>
        <w:footnoteReference w:id="110"/>
      </w:r>
      <w:r>
        <w:t xml:space="preserve"> are not </w:t>
      </w:r>
      <w:r w:rsidR="002F2508">
        <w:t xml:space="preserve">adopted in this report and order.  We decline to adopt these proposals at this time due to the complexities of these proposals raised by commenters in the record.  For example, ITTA’s proposal to combine wireless and wireline voice services would require </w:t>
      </w:r>
      <w:r w:rsidR="00B724DD">
        <w:t xml:space="preserve">a methodology to synthesize two different regulatory fee structures for two different industries.  </w:t>
      </w:r>
      <w:r w:rsidR="00990D04">
        <w:t>Adopting a fee category for non-U.S.-licensed space stations raises significant issues</w:t>
      </w:r>
      <w:r w:rsidR="00A56B9E">
        <w:t xml:space="preserve"> regarding our authority to assess such a fee as well as the policy implications if other countries decided to follow our example</w:t>
      </w:r>
      <w:r w:rsidR="00990D04">
        <w:t>.</w:t>
      </w:r>
      <w:r w:rsidR="00990D04">
        <w:rPr>
          <w:rStyle w:val="FootnoteReference"/>
        </w:rPr>
        <w:footnoteReference w:id="111"/>
      </w:r>
      <w:r w:rsidR="00A56B9E">
        <w:t xml:space="preserve">  </w:t>
      </w:r>
      <w:r w:rsidR="00CE6137">
        <w:t xml:space="preserve">We recognize that there may be merit to more fundamental reform in the regulatory fee process </w:t>
      </w:r>
      <w:r w:rsidR="00EA0619">
        <w:t>as outlined in these proposals.  Additional time</w:t>
      </w:r>
      <w:r w:rsidR="00B724DD">
        <w:t>, however, is nee</w:t>
      </w:r>
      <w:r w:rsidR="00B53A9E">
        <w:t>ded to</w:t>
      </w:r>
      <w:r w:rsidR="00B724DD">
        <w:t xml:space="preserve"> provide an</w:t>
      </w:r>
      <w:r w:rsidR="00EA0619">
        <w:t xml:space="preserve"> opportunity to more closely examine and consider these proposals and the record in future fiscal </w:t>
      </w:r>
      <w:r w:rsidR="0034153B">
        <w:t>year regulatory fee proceedings</w:t>
      </w:r>
      <w:r w:rsidR="00EA0619">
        <w:t>.</w:t>
      </w:r>
      <w:r w:rsidR="00FD036C">
        <w:rPr>
          <w:rStyle w:val="FootnoteReference"/>
        </w:rPr>
        <w:footnoteReference w:id="112"/>
      </w:r>
    </w:p>
    <w:p w:rsidR="00927E9C" w:rsidRPr="001A3589" w:rsidRDefault="00927E9C" w:rsidP="00F15C95">
      <w:pPr>
        <w:pStyle w:val="ParaNum"/>
        <w:rPr>
          <w:szCs w:val="22"/>
        </w:rPr>
      </w:pPr>
      <w:r>
        <w:lastRenderedPageBreak/>
        <w:t xml:space="preserve">As a final matter, in the </w:t>
      </w:r>
      <w:r w:rsidRPr="00186588">
        <w:rPr>
          <w:i/>
        </w:rPr>
        <w:t>FY 2014 NPRM</w:t>
      </w:r>
      <w:r>
        <w:t xml:space="preserve">, we sought comment on capping increases at 7.5 percent, or a higher cap, “for any category resulting solely from the reallocations of FTEs or our reform measures;” however, we have not adopted any such measures that would result in an </w:t>
      </w:r>
      <w:r w:rsidR="00186588">
        <w:t xml:space="preserve">increase of over 7.5 percent.  </w:t>
      </w:r>
      <w:r>
        <w:t xml:space="preserve">We recognize that the fees in some categories may increase for FY 2014 due to a decrease in the number of units in that particular category.  These changes in the number of units in each </w:t>
      </w:r>
      <w:r w:rsidR="003A48D9">
        <w:t xml:space="preserve">category </w:t>
      </w:r>
      <w:r w:rsidR="00186588">
        <w:t xml:space="preserve">can </w:t>
      </w:r>
      <w:r w:rsidR="003A48D9">
        <w:t>occur</w:t>
      </w:r>
      <w:r>
        <w:t xml:space="preserve"> each year without any Commission action.  As compared with FY 2013, very few fee categories will experience large fee rate increases in FY 2014, and these increases do not result from the reform measures that the Commission has adopted here.  Therefore, we do not adopt a cap in this proceeding.</w:t>
      </w:r>
      <w:r w:rsidRPr="00083E4F">
        <w:t xml:space="preserve"> </w:t>
      </w:r>
      <w:r>
        <w:t xml:space="preserve"> We note that commenters did not support this</w:t>
      </w:r>
      <w:r w:rsidR="00BD72F0">
        <w:t xml:space="preserve"> proposal, as set forth in the </w:t>
      </w:r>
      <w:r w:rsidR="00BD72F0" w:rsidRPr="00186588">
        <w:rPr>
          <w:i/>
        </w:rPr>
        <w:t>FY 2014</w:t>
      </w:r>
      <w:r w:rsidRPr="00186588">
        <w:rPr>
          <w:i/>
        </w:rPr>
        <w:t xml:space="preserve"> NPRM</w:t>
      </w:r>
      <w:r>
        <w:t xml:space="preserve">.  </w:t>
      </w:r>
      <w:r w:rsidR="00BD72F0">
        <w:t xml:space="preserve">For example, </w:t>
      </w:r>
      <w:r>
        <w:t>AT&amp;T opposes adopting a cap for FY 2014 unless we can show that an uncapped increase in regulatory fees would have a severe impact on the economic wellbeing of licensees and that the increase was not due to the Commission’s efforts to address a long-standing imbalance.</w:t>
      </w:r>
      <w:r>
        <w:rPr>
          <w:rStyle w:val="FootnoteReference"/>
        </w:rPr>
        <w:footnoteReference w:id="113"/>
      </w:r>
    </w:p>
    <w:p w:rsidR="00CE382F" w:rsidRDefault="00CE382F" w:rsidP="00EF6EC1">
      <w:pPr>
        <w:pStyle w:val="Heading1"/>
        <w:widowControl/>
        <w:rPr>
          <w:rFonts w:ascii="Times New Roman" w:hAnsi="Times New Roman"/>
          <w:szCs w:val="22"/>
        </w:rPr>
      </w:pPr>
      <w:bookmarkStart w:id="49" w:name="_Toc394672311"/>
      <w:bookmarkStart w:id="50" w:name="_Toc397078324"/>
      <w:bookmarkStart w:id="51" w:name="_Toc390878803"/>
      <w:r>
        <w:rPr>
          <w:rFonts w:ascii="Times New Roman" w:hAnsi="Times New Roman"/>
          <w:szCs w:val="22"/>
        </w:rPr>
        <w:t>Second Further notice of proposed rulemaking</w:t>
      </w:r>
      <w:bookmarkEnd w:id="49"/>
      <w:bookmarkEnd w:id="50"/>
    </w:p>
    <w:p w:rsidR="00FD036C" w:rsidRPr="007535AF" w:rsidRDefault="00FD036C" w:rsidP="00676EF9">
      <w:pPr>
        <w:pStyle w:val="Heading2"/>
      </w:pPr>
      <w:bookmarkStart w:id="52" w:name="_Toc397078325"/>
      <w:r>
        <w:t>Toll Free Numbers</w:t>
      </w:r>
      <w:bookmarkEnd w:id="52"/>
    </w:p>
    <w:p w:rsidR="00CE382F" w:rsidRDefault="009946E8" w:rsidP="00405C8B">
      <w:pPr>
        <w:pStyle w:val="ParaNum"/>
        <w:widowControl/>
      </w:pPr>
      <w:r>
        <w:t xml:space="preserve">In the above Report and Order we adopt a regulatory fee category for toll free numbers.  </w:t>
      </w:r>
      <w:r w:rsidR="00F509DD">
        <w:t xml:space="preserve"> </w:t>
      </w:r>
      <w:r w:rsidR="006C6F07">
        <w:t>W</w:t>
      </w:r>
      <w:r w:rsidR="00F509DD">
        <w:t>e agree with the commenters</w:t>
      </w:r>
      <w:r w:rsidR="006C6F07">
        <w:rPr>
          <w:rStyle w:val="FootnoteReference"/>
        </w:rPr>
        <w:footnoteReference w:id="114"/>
      </w:r>
      <w:r w:rsidR="00F509DD">
        <w:t xml:space="preserve"> that additional development in the record is needed </w:t>
      </w:r>
      <w:r w:rsidR="00A95BBA">
        <w:t xml:space="preserve">regarding the appropriate procedures for </w:t>
      </w:r>
      <w:r w:rsidR="00F509DD">
        <w:t xml:space="preserve">enforcement for non-payment </w:t>
      </w:r>
      <w:r w:rsidR="00A95BBA">
        <w:t xml:space="preserve">such as revocation of numbers or decertifying a RespOrg.  </w:t>
      </w:r>
      <w:r w:rsidR="00CE382F">
        <w:t xml:space="preserve">    </w:t>
      </w:r>
    </w:p>
    <w:p w:rsidR="00CE382F" w:rsidRDefault="0051535B" w:rsidP="00F15C95">
      <w:pPr>
        <w:pStyle w:val="ParaNum"/>
      </w:pPr>
      <w:r w:rsidRPr="0051535B">
        <w:t xml:space="preserve">We </w:t>
      </w:r>
      <w:r w:rsidR="00B56A56">
        <w:t xml:space="preserve">therefore </w:t>
      </w:r>
      <w:r w:rsidRPr="0051535B">
        <w:t xml:space="preserve">seek comment on </w:t>
      </w:r>
      <w:r w:rsidR="0024745B">
        <w:t xml:space="preserve">what procedures we may use to </w:t>
      </w:r>
      <w:r w:rsidRPr="0051535B">
        <w:t xml:space="preserve">enforce a RespOrg’s </w:t>
      </w:r>
      <w:r w:rsidR="0024745B">
        <w:t xml:space="preserve">obligation to pay </w:t>
      </w:r>
      <w:r w:rsidRPr="0051535B">
        <w:t xml:space="preserve">any regulatory fees assessed on toll free numbers.  For instance, </w:t>
      </w:r>
      <w:r w:rsidR="00541DBF">
        <w:t>s</w:t>
      </w:r>
      <w:r w:rsidR="00CE382F">
        <w:t>ection 9(c)(3) of the Act states that in lieu of penalties and dismissals, “the Commission may revoke any instrument of authorization held by an entity that has failed to make payment of a regulatory fee assessed pursuant to the section.”</w:t>
      </w:r>
      <w:r w:rsidR="00CE382F">
        <w:rPr>
          <w:rStyle w:val="FootnoteReference"/>
        </w:rPr>
        <w:footnoteReference w:id="115"/>
      </w:r>
      <w:r w:rsidR="00CE382F">
        <w:t xml:space="preserve">  </w:t>
      </w:r>
      <w:r w:rsidR="00F509DD">
        <w:t>W</w:t>
      </w:r>
      <w:r w:rsidR="00CE382F">
        <w:t xml:space="preserve">e seek comment on </w:t>
      </w:r>
      <w:r w:rsidR="00541DBF">
        <w:t>whether s</w:t>
      </w:r>
      <w:r w:rsidR="00CE382F">
        <w:t xml:space="preserve">ection 9(c)(3) </w:t>
      </w:r>
      <w:r w:rsidR="00F509DD">
        <w:t xml:space="preserve">of the Act </w:t>
      </w:r>
      <w:r w:rsidR="00CE382F">
        <w:t>permits the Commission to classify toll free numbers as “instruments of authorizations</w:t>
      </w:r>
      <w:r w:rsidR="0067780B">
        <w:t>,”</w:t>
      </w:r>
      <w:r w:rsidR="00CE382F">
        <w:t xml:space="preserve"> thereby allowing </w:t>
      </w:r>
      <w:r w:rsidR="005D7428">
        <w:t>reclamation</w:t>
      </w:r>
      <w:r w:rsidR="00CE382F">
        <w:t xml:space="preserve"> of those numbers if regulatory fees are not paid.  We also invite input on whether the Commission may decertify </w:t>
      </w:r>
      <w:r w:rsidR="005D7428">
        <w:t xml:space="preserve">(or direct SMS/800 to decertify) </w:t>
      </w:r>
      <w:r w:rsidR="00CE382F">
        <w:t>a RespOrg in instances of delin</w:t>
      </w:r>
      <w:r w:rsidR="0067780B">
        <w:t xml:space="preserve">quent regulatory fee payments. </w:t>
      </w:r>
      <w:r w:rsidR="00CE382F">
        <w:t xml:space="preserve"> </w:t>
      </w:r>
      <w:r w:rsidRPr="0051535B">
        <w:t>Does the Commission have authority under section 9(c) to revoke a certification granted by a third party, such as the SMS/800 Database Administrator?  If so, would this</w:t>
      </w:r>
      <w:r w:rsidR="005539B8">
        <w:t xml:space="preserve"> certification</w:t>
      </w:r>
      <w:r w:rsidRPr="0051535B">
        <w:t xml:space="preserve"> be an “instrument of authorization” under section 9(c) </w:t>
      </w:r>
      <w:r w:rsidR="00F509DD">
        <w:t xml:space="preserve">of the Act </w:t>
      </w:r>
      <w:r w:rsidRPr="0051535B">
        <w:t xml:space="preserve">that could be revoked if the RespOrg failed to pay regulatory fees?  For instance, </w:t>
      </w:r>
      <w:r>
        <w:t xml:space="preserve">we </w:t>
      </w:r>
      <w:r w:rsidRPr="0051535B">
        <w:t>might treat an SMS/800</w:t>
      </w:r>
      <w:r w:rsidR="00FB618D">
        <w:t>, Inc.</w:t>
      </w:r>
      <w:r w:rsidRPr="0051535B">
        <w:t xml:space="preserve"> certification as sufficient (though perhaps not necessary) evidence that an entity is entitled to an FCC authorization to operate as a RespOrg.  Then, in the event of non-payment of reg</w:t>
      </w:r>
      <w:r w:rsidR="00A55EF9">
        <w:t>ulatory</w:t>
      </w:r>
      <w:r w:rsidRPr="0051535B">
        <w:t xml:space="preserve"> fees, the Commission might revoke the FCC-issued authorization needed for the entity to serve as a RespOrg. </w:t>
      </w:r>
      <w:r w:rsidR="00450F58">
        <w:t xml:space="preserve"> </w:t>
      </w:r>
      <w:r w:rsidR="00450F58" w:rsidRPr="0051535B">
        <w:t xml:space="preserve">We seek comment on this and any other possible approaches. </w:t>
      </w:r>
      <w:r w:rsidR="00450F58">
        <w:t xml:space="preserve"> We seek comment on whether there are other statutory approaches for revoking such certification in the event of nonpayment.  </w:t>
      </w:r>
      <w:r w:rsidR="00CE382F">
        <w:t xml:space="preserve">We further seek comment on whether a </w:t>
      </w:r>
      <w:r w:rsidR="00AC44CB">
        <w:t xml:space="preserve">RespOrg’s application </w:t>
      </w:r>
      <w:r w:rsidR="0035753F">
        <w:t xml:space="preserve">either for certification by SMS/800, Inc. or </w:t>
      </w:r>
      <w:r w:rsidR="005D7428">
        <w:t>to receive</w:t>
      </w:r>
      <w:r w:rsidR="00AC44CB">
        <w:t xml:space="preserve"> toll</w:t>
      </w:r>
      <w:r w:rsidR="002F63EC">
        <w:t xml:space="preserve"> </w:t>
      </w:r>
      <w:r w:rsidR="00CE382F">
        <w:t xml:space="preserve">free numbers </w:t>
      </w:r>
      <w:r w:rsidR="005D7428">
        <w:t xml:space="preserve">filed with SMS/800, Inc. </w:t>
      </w:r>
      <w:r w:rsidR="00CE382F">
        <w:t xml:space="preserve">can be </w:t>
      </w:r>
      <w:r w:rsidR="005D7428">
        <w:t>delayed or denied, thus preventing either temporary or permanent access to the toll free database to reserve toll free numbers</w:t>
      </w:r>
      <w:r w:rsidR="00CE382F">
        <w:t xml:space="preserve"> if regulatory fees are delinquent.</w:t>
      </w:r>
      <w:r w:rsidR="007766B1">
        <w:rPr>
          <w:rStyle w:val="FootnoteReference"/>
        </w:rPr>
        <w:footnoteReference w:id="116"/>
      </w:r>
      <w:r w:rsidR="00CE382F">
        <w:t xml:space="preserve">  If not, should the Commission require a separate application be submitted to it for the use of toll free numbers and payment of regulatory fees?</w:t>
      </w:r>
    </w:p>
    <w:p w:rsidR="008939E8" w:rsidRDefault="008939E8" w:rsidP="00676EF9">
      <w:pPr>
        <w:pStyle w:val="Heading2"/>
      </w:pPr>
      <w:bookmarkStart w:id="53" w:name="_Toc397078326"/>
      <w:r>
        <w:lastRenderedPageBreak/>
        <w:t>DBS</w:t>
      </w:r>
      <w:bookmarkEnd w:id="53"/>
    </w:p>
    <w:p w:rsidR="00203E39" w:rsidRDefault="0086691C" w:rsidP="00F15C95">
      <w:pPr>
        <w:pStyle w:val="ParaNum"/>
      </w:pPr>
      <w:r>
        <w:t xml:space="preserve">In this Further Notice we </w:t>
      </w:r>
      <w:r w:rsidR="00FB618D">
        <w:t xml:space="preserve">also </w:t>
      </w:r>
      <w:r w:rsidR="00C3591A">
        <w:t xml:space="preserve">propose </w:t>
      </w:r>
      <w:r w:rsidR="007535AF">
        <w:t>to</w:t>
      </w:r>
      <w:r>
        <w:t xml:space="preserve"> adopt a new fee category for DBS, based on the Media Bureau FTEs</w:t>
      </w:r>
      <w:r w:rsidR="007535AF">
        <w:t xml:space="preserve"> which perform work related to th</w:t>
      </w:r>
      <w:r w:rsidR="00784B9B">
        <w:t>ese</w:t>
      </w:r>
      <w:r w:rsidR="007535AF">
        <w:t xml:space="preserve"> regulatee</w:t>
      </w:r>
      <w:r w:rsidR="00784B9B">
        <w:t>s</w:t>
      </w:r>
      <w:r>
        <w:t>.  DBS providers</w:t>
      </w:r>
      <w:r w:rsidRPr="00A438CD">
        <w:t xml:space="preserve"> are multichannel video programming distributors (MVPDs), pursuant to section </w:t>
      </w:r>
      <w:r w:rsidR="00784B9B">
        <w:t>602</w:t>
      </w:r>
      <w:r w:rsidRPr="00A438CD">
        <w:t>(13) of the Act</w:t>
      </w:r>
      <w:r>
        <w:t>.</w:t>
      </w:r>
      <w:r>
        <w:rPr>
          <w:rStyle w:val="FootnoteReference"/>
        </w:rPr>
        <w:footnoteReference w:id="117"/>
      </w:r>
      <w:r>
        <w:t xml:space="preserve">  These operators of U.S.-licensed geostationary space stations used to provide one-way subscription television service to consumers in the United States pay a regulatory fee under the category “</w:t>
      </w:r>
      <w:r w:rsidRPr="00A438CD">
        <w:t>Space Station (Geostationary Orbit</w:t>
      </w:r>
      <w:r>
        <w:t>)” in the</w:t>
      </w:r>
      <w:r w:rsidR="007535AF">
        <w:t xml:space="preserve"> regulatory</w:t>
      </w:r>
      <w:r>
        <w:t xml:space="preserve"> </w:t>
      </w:r>
      <w:r w:rsidRPr="00A438CD">
        <w:t>fee schedule</w:t>
      </w:r>
      <w:r>
        <w:t>.</w:t>
      </w:r>
      <w:r w:rsidR="007535AF">
        <w:t xml:space="preserve">  DBS providers are also similar to cable operators and IPTV providers because DBS providers offer multi-channel video program</w:t>
      </w:r>
      <w:r w:rsidR="001A771B">
        <w:t>ming</w:t>
      </w:r>
      <w:r w:rsidR="007535AF">
        <w:t xml:space="preserve"> to end-users.  Despite this similarity, DBS </w:t>
      </w:r>
      <w:r>
        <w:t>providers</w:t>
      </w:r>
      <w:r w:rsidR="007535AF">
        <w:t xml:space="preserve"> do not </w:t>
      </w:r>
      <w:r>
        <w:t xml:space="preserve">pay the </w:t>
      </w:r>
      <w:r w:rsidRPr="00A438CD">
        <w:t xml:space="preserve">per-subscriber regulatory </w:t>
      </w:r>
      <w:r>
        <w:t>fee assessed on cable operators and IPTV providers</w:t>
      </w:r>
      <w:r w:rsidR="00784B9B">
        <w:t xml:space="preserve"> based on Media Bureau FTE regulation</w:t>
      </w:r>
      <w:r>
        <w:t xml:space="preserve">.  </w:t>
      </w:r>
      <w:r w:rsidRPr="00A438CD">
        <w:t xml:space="preserve">  </w:t>
      </w:r>
    </w:p>
    <w:p w:rsidR="007535AF" w:rsidRDefault="0086691C" w:rsidP="00F15C95">
      <w:pPr>
        <w:pStyle w:val="ParaNum"/>
      </w:pPr>
      <w:r>
        <w:t xml:space="preserve">In the </w:t>
      </w:r>
      <w:r w:rsidRPr="001A771B">
        <w:rPr>
          <w:i/>
        </w:rPr>
        <w:t>FY 2014 NPRM</w:t>
      </w:r>
      <w:r>
        <w:t>, we sought comment on “</w:t>
      </w:r>
      <w:r w:rsidRPr="001A771B">
        <w:t>whether regulatory fees paid by DBS providers should be included in the cable television and IPTV category</w:t>
      </w:r>
      <w:r>
        <w:t xml:space="preserve"> </w:t>
      </w:r>
      <w:r w:rsidRPr="001A771B">
        <w:t>and assessed in the same manner as cable television system operators</w:t>
      </w:r>
      <w:r>
        <w:t>.”</w:t>
      </w:r>
      <w:r>
        <w:rPr>
          <w:rStyle w:val="FootnoteReference"/>
        </w:rPr>
        <w:footnoteReference w:id="118"/>
      </w:r>
      <w:r>
        <w:t xml:space="preserve">  </w:t>
      </w:r>
      <w:r w:rsidR="00203E39">
        <w:t>It noted that DBS providers currently pay less than nine percent of the regulatory fees they would be assessed if the Commission were to combine these categories ($2,052,450 vs. $23,120,000) and required DBS to pay the same rate as cable television and IPTV.</w:t>
      </w:r>
      <w:r w:rsidR="00203E39">
        <w:rPr>
          <w:rStyle w:val="FootnoteReference"/>
        </w:rPr>
        <w:footnoteReference w:id="119"/>
      </w:r>
      <w:r w:rsidR="002960DC">
        <w:t xml:space="preserve">  </w:t>
      </w:r>
      <w:r>
        <w:t>Various commenters have supported this proposal</w:t>
      </w:r>
      <w:r>
        <w:rPr>
          <w:rStyle w:val="FootnoteReference"/>
        </w:rPr>
        <w:footnoteReference w:id="120"/>
      </w:r>
      <w:r>
        <w:t xml:space="preserve"> arguing that assessing regulatory fees on DBS providers is warranted because Media Bureau FTEs provide </w:t>
      </w:r>
      <w:r w:rsidRPr="00996EC9">
        <w:t xml:space="preserve">similar regulatory work </w:t>
      </w:r>
      <w:r>
        <w:t xml:space="preserve">to both </w:t>
      </w:r>
      <w:r w:rsidRPr="00996EC9">
        <w:t>cable operators and DBS providers.</w:t>
      </w:r>
      <w:r>
        <w:rPr>
          <w:rStyle w:val="FootnoteReference"/>
        </w:rPr>
        <w:footnoteReference w:id="121"/>
      </w:r>
      <w:r w:rsidRPr="00996EC9">
        <w:t xml:space="preserve">  For example, DBS providers and cable </w:t>
      </w:r>
      <w:r>
        <w:t>operators</w:t>
      </w:r>
      <w:r w:rsidRPr="00996EC9">
        <w:t xml:space="preserve"> </w:t>
      </w:r>
      <w:r>
        <w:t>are permitted to</w:t>
      </w:r>
      <w:r w:rsidRPr="00996EC9">
        <w:t xml:space="preserve"> file program access complaints</w:t>
      </w:r>
      <w:r w:rsidRPr="00996EC9">
        <w:rPr>
          <w:rStyle w:val="FootnoteReference"/>
          <w:szCs w:val="22"/>
        </w:rPr>
        <w:footnoteReference w:id="122"/>
      </w:r>
      <w:r w:rsidRPr="00996EC9">
        <w:t xml:space="preserve"> and complaints seeking relief under the retransmission consent good faith rules;</w:t>
      </w:r>
      <w:r w:rsidRPr="001A771B">
        <w:rPr>
          <w:rStyle w:val="FootnoteReference"/>
          <w:szCs w:val="22"/>
        </w:rPr>
        <w:t xml:space="preserve"> </w:t>
      </w:r>
      <w:r w:rsidRPr="00996EC9">
        <w:rPr>
          <w:rStyle w:val="FootnoteReference"/>
          <w:szCs w:val="22"/>
        </w:rPr>
        <w:footnoteReference w:id="123"/>
      </w:r>
      <w:r w:rsidRPr="00996EC9">
        <w:t xml:space="preserve"> and DBS providers are </w:t>
      </w:r>
      <w:r w:rsidR="00A56B9E">
        <w:t xml:space="preserve">also </w:t>
      </w:r>
      <w:r w:rsidRPr="00996EC9">
        <w:t>required to comply with Media Bureau oversight and regulation such as Commercial Advertisement Loudness Mitigation Act (CALM Act)</w:t>
      </w:r>
      <w:r w:rsidRPr="001A771B">
        <w:t>,</w:t>
      </w:r>
      <w:r w:rsidRPr="00996EC9">
        <w:rPr>
          <w:rStyle w:val="FootnoteReference"/>
          <w:szCs w:val="22"/>
        </w:rPr>
        <w:footnoteReference w:id="124"/>
      </w:r>
      <w:r w:rsidRPr="00996EC9">
        <w:t xml:space="preserve"> the Twenty-First Century Video Accessibility Act (CVAA),</w:t>
      </w:r>
      <w:r w:rsidRPr="00996EC9">
        <w:rPr>
          <w:rStyle w:val="FootnoteReference"/>
          <w:szCs w:val="22"/>
        </w:rPr>
        <w:footnoteReference w:id="125"/>
      </w:r>
      <w:r w:rsidRPr="00996EC9">
        <w:t xml:space="preserve"> </w:t>
      </w:r>
      <w:r>
        <w:t>as well as</w:t>
      </w:r>
      <w:r w:rsidRPr="00996EC9">
        <w:t xml:space="preserve"> the closed captioning and video description rules.</w:t>
      </w:r>
      <w:r w:rsidRPr="00996EC9">
        <w:rPr>
          <w:rStyle w:val="FootnoteReference"/>
        </w:rPr>
        <w:footnoteReference w:id="126"/>
      </w:r>
      <w:r w:rsidRPr="00996EC9">
        <w:t xml:space="preserve">  </w:t>
      </w:r>
      <w:r>
        <w:t>ACA argues that because DBS providers do not pay fees to cover the Media Bureau FTE expenses, the Media Bureau costs are shifted entirely to the entities that do pay regulatory fees based on Media Bureau FTEs.</w:t>
      </w:r>
      <w:r>
        <w:rPr>
          <w:rStyle w:val="FootnoteReference"/>
        </w:rPr>
        <w:footnoteReference w:id="127"/>
      </w:r>
      <w:r w:rsidR="001A771B">
        <w:t xml:space="preserve">  </w:t>
      </w:r>
      <w:r w:rsidRPr="00996EC9">
        <w:t xml:space="preserve">DBS providers </w:t>
      </w:r>
      <w:r w:rsidR="00DA0A6B">
        <w:t xml:space="preserve">have </w:t>
      </w:r>
      <w:r>
        <w:t>oppose</w:t>
      </w:r>
      <w:r w:rsidR="00DA0A6B">
        <w:t>d</w:t>
      </w:r>
      <w:r>
        <w:t xml:space="preserve"> this proposal</w:t>
      </w:r>
      <w:r w:rsidR="00E001AC">
        <w:t xml:space="preserve">; </w:t>
      </w:r>
      <w:r w:rsidRPr="00996EC9">
        <w:t>argu</w:t>
      </w:r>
      <w:r>
        <w:t>ing</w:t>
      </w:r>
      <w:r w:rsidRPr="00996EC9">
        <w:t xml:space="preserve"> </w:t>
      </w:r>
      <w:r>
        <w:t xml:space="preserve">that they </w:t>
      </w:r>
      <w:r w:rsidRPr="00996EC9">
        <w:t>ar</w:t>
      </w:r>
      <w:r>
        <w:t>e not cable television operators</w:t>
      </w:r>
      <w:r w:rsidRPr="00996EC9">
        <w:t xml:space="preserve"> and they are not subject to all of the regulations historically imposed on the cable industry by the Media Bureau</w:t>
      </w:r>
      <w:r>
        <w:t>; instead, their business model is based on satellite technology and is subject to satellite licensing rules through the International Bureau.</w:t>
      </w:r>
      <w:r>
        <w:rPr>
          <w:rStyle w:val="FootnoteReference"/>
        </w:rPr>
        <w:footnoteReference w:id="128"/>
      </w:r>
      <w:r w:rsidR="007535AF" w:rsidRPr="00A438CD">
        <w:t xml:space="preserve">  </w:t>
      </w:r>
    </w:p>
    <w:p w:rsidR="0086691C" w:rsidRPr="003231EE" w:rsidRDefault="0086691C" w:rsidP="00F15C95">
      <w:pPr>
        <w:pStyle w:val="ParaNum"/>
        <w:rPr>
          <w:color w:val="1F497D"/>
        </w:rPr>
      </w:pPr>
      <w:r w:rsidRPr="003231EE">
        <w:lastRenderedPageBreak/>
        <w:t xml:space="preserve">We </w:t>
      </w:r>
      <w:r w:rsidR="00A245B5" w:rsidRPr="003231EE">
        <w:t xml:space="preserve">recognize that </w:t>
      </w:r>
      <w:r w:rsidRPr="003231EE">
        <w:t>DBS providers</w:t>
      </w:r>
      <w:r w:rsidR="00DA0A6B" w:rsidRPr="00A56B9E">
        <w:t xml:space="preserve"> </w:t>
      </w:r>
      <w:r w:rsidRPr="00A56B9E">
        <w:t>are not subject to all of the regulations and requirements imposed on the cable industry.</w:t>
      </w:r>
      <w:r>
        <w:rPr>
          <w:rStyle w:val="FootnoteReference"/>
          <w:szCs w:val="22"/>
        </w:rPr>
        <w:footnoteReference w:id="129"/>
      </w:r>
      <w:r w:rsidRPr="003231EE">
        <w:t xml:space="preserve">  However, as </w:t>
      </w:r>
      <w:r w:rsidR="00A245B5" w:rsidRPr="003231EE">
        <w:t>discussed</w:t>
      </w:r>
      <w:r w:rsidR="00A245B5" w:rsidRPr="00A56B9E">
        <w:t xml:space="preserve"> </w:t>
      </w:r>
      <w:r w:rsidRPr="00A56B9E">
        <w:t xml:space="preserve">above, there are certain rules that </w:t>
      </w:r>
      <w:r w:rsidR="00A245B5" w:rsidRPr="00A56B9E">
        <w:t xml:space="preserve">both </w:t>
      </w:r>
      <w:r w:rsidRPr="00A56B9E">
        <w:t>DBS providers</w:t>
      </w:r>
      <w:r w:rsidR="00A245B5" w:rsidRPr="00A56B9E">
        <w:t>, and</w:t>
      </w:r>
      <w:r w:rsidRPr="00A56B9E">
        <w:t xml:space="preserve"> cable operators are subject to, and </w:t>
      </w:r>
      <w:r>
        <w:t>Media Bureau FTEs provide the oversight and regulation of the DBS industry in these areas</w:t>
      </w:r>
      <w:r w:rsidR="00A245B5">
        <w:t>.</w:t>
      </w:r>
      <w:r w:rsidR="001A771B">
        <w:rPr>
          <w:rStyle w:val="FootnoteReference"/>
        </w:rPr>
        <w:footnoteReference w:id="130"/>
      </w:r>
      <w:r w:rsidR="00A245B5">
        <w:t xml:space="preserve">  </w:t>
      </w:r>
      <w:r w:rsidR="00143B92">
        <w:t>Last year, the Commission adopted a new category of regulatory fees for IPTV providers and cable television operators reasoning that “assessing regulatory fees on cable television systems, but not on IPTV . . . . may place cable providers at a competitive disadv</w:t>
      </w:r>
      <w:r w:rsidR="003C1987">
        <w:t>antage,</w:t>
      </w:r>
      <w:r w:rsidR="00143B92">
        <w:t>”</w:t>
      </w:r>
      <w:r w:rsidR="00143B92">
        <w:rPr>
          <w:rStyle w:val="FootnoteReference"/>
        </w:rPr>
        <w:footnoteReference w:id="131"/>
      </w:r>
      <w:r w:rsidR="003C1987">
        <w:t xml:space="preserve"> and noting that there is a “relatively small difference from a regulatory perspective” between IPTV providers and cable operators.</w:t>
      </w:r>
      <w:r w:rsidR="003C1987">
        <w:rPr>
          <w:rStyle w:val="FootnoteReference"/>
        </w:rPr>
        <w:footnoteReference w:id="132"/>
      </w:r>
      <w:r w:rsidR="003C1987">
        <w:t xml:space="preserve"> </w:t>
      </w:r>
      <w:r w:rsidR="00FD0F13">
        <w:t xml:space="preserve">This Media Bureau FTE involvement and the benefits received by DBS may support adoption of a new fee category.  </w:t>
      </w:r>
      <w:r w:rsidR="00A245B5">
        <w:t>We believe, therefore, it may be appropriate under section 9 of the Act to recover the costs associated with Media Bureau FTE work.</w:t>
      </w:r>
      <w:r w:rsidR="00A245B5">
        <w:rPr>
          <w:rStyle w:val="FootnoteReference"/>
        </w:rPr>
        <w:footnoteReference w:id="133"/>
      </w:r>
      <w:r w:rsidR="00A245B5">
        <w:t xml:space="preserve">  Accordingly, we </w:t>
      </w:r>
      <w:r w:rsidR="00FF1C46">
        <w:t xml:space="preserve">propose to </w:t>
      </w:r>
      <w:r w:rsidR="00A245B5">
        <w:t xml:space="preserve">adopt a new fee category to recover the </w:t>
      </w:r>
      <w:r w:rsidR="00553C55">
        <w:t xml:space="preserve">costs incurred by the </w:t>
      </w:r>
      <w:r w:rsidR="00A245B5">
        <w:t xml:space="preserve">Media Bureau </w:t>
      </w:r>
      <w:r w:rsidR="00553C55">
        <w:t>due to</w:t>
      </w:r>
      <w:r w:rsidR="00A245B5">
        <w:t xml:space="preserve"> the DBS industry.</w:t>
      </w:r>
      <w:r w:rsidR="00FD0F13">
        <w:t xml:space="preserve">  Alternatively, should Media Bureau FTEs working on DBS issues be assigned to the International Bureau </w:t>
      </w:r>
      <w:r w:rsidR="00FF1C46">
        <w:t xml:space="preserve">or as indirect FTEs </w:t>
      </w:r>
      <w:r w:rsidR="00FD0F13">
        <w:t>for regulatory fee purposes?</w:t>
      </w:r>
      <w:r w:rsidR="00727EF4">
        <w:t xml:space="preserve">  We invite comment on the legal and policy implications of such a proposal.</w:t>
      </w:r>
    </w:p>
    <w:p w:rsidR="00DA0A6B" w:rsidRPr="00676EF9" w:rsidRDefault="00553C55" w:rsidP="00F15C95">
      <w:pPr>
        <w:pStyle w:val="ParaNum"/>
        <w:rPr>
          <w:color w:val="1F497D"/>
        </w:rPr>
      </w:pPr>
      <w:r>
        <w:t>U</w:t>
      </w:r>
      <w:r w:rsidR="0086691C">
        <w:t>nlike cable television/IPTV, DBS providers already pay regulatory fees based on the oversight of their industry by International Bureau FTEs</w:t>
      </w:r>
      <w:r w:rsidR="0066777A">
        <w:t xml:space="preserve"> and do not pay any Media Bureau FTE fees</w:t>
      </w:r>
      <w:r w:rsidR="0086691C">
        <w:t xml:space="preserve">.  We, </w:t>
      </w:r>
      <w:r w:rsidR="00DA0A6B">
        <w:t>seek comment on</w:t>
      </w:r>
      <w:r w:rsidR="0005776C">
        <w:t xml:space="preserve"> whether </w:t>
      </w:r>
      <w:r w:rsidR="0086691C">
        <w:t xml:space="preserve">DBS </w:t>
      </w:r>
      <w:r w:rsidR="00784B9B">
        <w:t xml:space="preserve">providers </w:t>
      </w:r>
      <w:r w:rsidR="0005776C">
        <w:t xml:space="preserve">should </w:t>
      </w:r>
      <w:r w:rsidR="00FD0F13">
        <w:t xml:space="preserve">pay a regulatory fee under this category </w:t>
      </w:r>
      <w:r w:rsidR="0086691C">
        <w:t xml:space="preserve">at a much lower rate than </w:t>
      </w:r>
      <w:r w:rsidR="00784B9B">
        <w:t xml:space="preserve">that </w:t>
      </w:r>
      <w:r w:rsidR="0086691C">
        <w:t>for other MVPDs</w:t>
      </w:r>
      <w:r w:rsidR="00DA0A6B">
        <w:t xml:space="preserve">, such as one-tenth of </w:t>
      </w:r>
      <w:r w:rsidR="000E2702">
        <w:t xml:space="preserve">the </w:t>
      </w:r>
      <w:r w:rsidR="00784B9B">
        <w:t xml:space="preserve">anticipated revenue </w:t>
      </w:r>
      <w:r w:rsidR="000E2702">
        <w:t>if DBS were combined with MVPD</w:t>
      </w:r>
      <w:r w:rsidR="0066777A">
        <w:t>, to recognize the International Bureau FTE fees DBS providers will continue to pay as well as the Media Bureau FTEs related to DBS regulation</w:t>
      </w:r>
      <w:r w:rsidR="000E2702">
        <w:t xml:space="preserve">.  We estimate this </w:t>
      </w:r>
      <w:r w:rsidR="00D15E82">
        <w:t xml:space="preserve">amount </w:t>
      </w:r>
      <w:r w:rsidR="000E2702">
        <w:t>would be approximately $2.1 million.</w:t>
      </w:r>
      <w:r w:rsidR="0086691C">
        <w:rPr>
          <w:rStyle w:val="FootnoteReference"/>
        </w:rPr>
        <w:footnoteReference w:id="134"/>
      </w:r>
      <w:r w:rsidR="000E2702">
        <w:t xml:space="preserve">  We invite comment on the appropriateness of this amount, or whether it should be higher or lower.</w:t>
      </w:r>
      <w:r w:rsidR="0086691C">
        <w:t xml:space="preserve">  </w:t>
      </w:r>
      <w:r w:rsidR="000E2702">
        <w:t xml:space="preserve">In assessing this proposal, </w:t>
      </w:r>
      <w:r w:rsidR="0005776C">
        <w:t>we</w:t>
      </w:r>
      <w:r w:rsidR="0086691C">
        <w:t xml:space="preserve"> </w:t>
      </w:r>
      <w:r w:rsidR="0066777A">
        <w:t xml:space="preserve">also </w:t>
      </w:r>
      <w:r w:rsidR="0086691C">
        <w:t xml:space="preserve">intend to factor in any </w:t>
      </w:r>
      <w:r w:rsidR="0066777A">
        <w:t xml:space="preserve">resulting “rate shock” on DBS providers, the </w:t>
      </w:r>
      <w:r w:rsidR="0086691C">
        <w:t xml:space="preserve">financial impact of such a fee on economic wellbeing of the DBS industry and the customers </w:t>
      </w:r>
      <w:r w:rsidR="00784B9B">
        <w:t>it</w:t>
      </w:r>
      <w:r w:rsidR="0086691C">
        <w:t xml:space="preserve"> serve</w:t>
      </w:r>
      <w:r w:rsidR="00784B9B">
        <w:t>s</w:t>
      </w:r>
      <w:r w:rsidR="0066777A">
        <w:t>, and the appropriateness of phasing in any permanent adjustments to our rate structure for DBS</w:t>
      </w:r>
      <w:r w:rsidR="0086691C">
        <w:t>.  This regulatory fee category</w:t>
      </w:r>
      <w:r w:rsidR="0005776C">
        <w:t>, if adopted, would</w:t>
      </w:r>
      <w:r w:rsidR="0086691C">
        <w:t xml:space="preserve"> apply to all operators of U.S.-licensed geostationary space stations used to provide one-way subscription television service to consumers in the United States.  </w:t>
      </w:r>
      <w:r w:rsidR="00D15E82">
        <w:t>We seek comment on whether assessing this fee on the space station operator is an efficient assessment mechanism or if there are alternative mechanisms for assessing a fee on providers of one-way subscription television service to consumers in the United States.</w:t>
      </w:r>
    </w:p>
    <w:p w:rsidR="0005776C" w:rsidRDefault="00E001AC" w:rsidP="00F15C95">
      <w:pPr>
        <w:pStyle w:val="ParaNum"/>
      </w:pPr>
      <w:r>
        <w:t xml:space="preserve">Commenters should discuss whether </w:t>
      </w:r>
      <w:r w:rsidR="00784B9B">
        <w:t xml:space="preserve">the payment obligations of </w:t>
      </w:r>
      <w:r>
        <w:t>this new category should increase over time to a larger percentage of the cable television/IPTV rate or if this fee category should be transitioned to a MVPD category together with cable television and IPTV.</w:t>
      </w:r>
      <w:r w:rsidRPr="00E001AC">
        <w:rPr>
          <w:color w:val="1F497D"/>
        </w:rPr>
        <w:t xml:space="preserve">  </w:t>
      </w:r>
      <w:r w:rsidR="0086691C">
        <w:t xml:space="preserve">We invite comment on the appropriateness of </w:t>
      </w:r>
      <w:r w:rsidR="00D90071">
        <w:t xml:space="preserve">eventually adopting </w:t>
      </w:r>
      <w:r w:rsidR="0086691C">
        <w:t>a new regulatory fee category that includes DBS, cable operators, and IPTV</w:t>
      </w:r>
      <w:r>
        <w:t xml:space="preserve">, </w:t>
      </w:r>
      <w:r w:rsidR="0086691C">
        <w:t>all assessed using the same methodology and at the same rate.  In doing so, we ask for legal and policy implications of such a combination.  We also seek comment</w:t>
      </w:r>
      <w:r w:rsidR="00D90071">
        <w:t xml:space="preserve"> on the</w:t>
      </w:r>
      <w:r w:rsidR="0086691C">
        <w:t xml:space="preserve"> time period the DBS providers should be transitioned into such a fee category</w:t>
      </w:r>
      <w:r w:rsidR="00784B9B">
        <w:t>, and in what manner,</w:t>
      </w:r>
      <w:r w:rsidR="0086691C">
        <w:t xml:space="preserve"> or if they should continue to remain at a lower rate than cable operators and IPTV. </w:t>
      </w:r>
      <w:r>
        <w:t xml:space="preserve"> </w:t>
      </w:r>
    </w:p>
    <w:p w:rsidR="008939E8" w:rsidRPr="008939E8" w:rsidRDefault="0086691C" w:rsidP="001063AA">
      <w:pPr>
        <w:pStyle w:val="ParaNum"/>
        <w:widowControl/>
      </w:pPr>
      <w:r>
        <w:lastRenderedPageBreak/>
        <w:t xml:space="preserve">Commenters should also discuss whether, </w:t>
      </w:r>
      <w:r w:rsidR="0005776C">
        <w:t xml:space="preserve">if </w:t>
      </w:r>
      <w:r>
        <w:t xml:space="preserve">DBS providers are assessed a more significant fee rate (comparable or the same as cable operators and IPTV), they should have an offset or credit for </w:t>
      </w:r>
      <w:r w:rsidR="00784B9B">
        <w:t xml:space="preserve">all or a portion of </w:t>
      </w:r>
      <w:r>
        <w:t xml:space="preserve">the regulatory fees </w:t>
      </w:r>
      <w:r w:rsidR="00784B9B">
        <w:t>that they pay</w:t>
      </w:r>
      <w:r>
        <w:t xml:space="preserve"> based on the International Bureau FTEs.</w:t>
      </w:r>
      <w:r w:rsidR="00E001AC">
        <w:t xml:space="preserve">  </w:t>
      </w:r>
    </w:p>
    <w:p w:rsidR="00264877" w:rsidRPr="007F7B4B" w:rsidRDefault="00264877" w:rsidP="00264877">
      <w:pPr>
        <w:pStyle w:val="Heading1"/>
        <w:widowControl/>
        <w:rPr>
          <w:rFonts w:ascii="Times New Roman" w:hAnsi="Times New Roman"/>
          <w:szCs w:val="22"/>
        </w:rPr>
      </w:pPr>
      <w:bookmarkStart w:id="54" w:name="_Toc394672312"/>
      <w:bookmarkStart w:id="55" w:name="_Toc397078327"/>
      <w:bookmarkEnd w:id="45"/>
      <w:bookmarkEnd w:id="46"/>
      <w:bookmarkEnd w:id="47"/>
      <w:bookmarkEnd w:id="48"/>
      <w:bookmarkEnd w:id="51"/>
      <w:r w:rsidRPr="007F7B4B">
        <w:rPr>
          <w:rFonts w:ascii="Times New Roman" w:hAnsi="Times New Roman"/>
          <w:szCs w:val="22"/>
        </w:rPr>
        <w:t>procedural matters</w:t>
      </w:r>
      <w:bookmarkEnd w:id="54"/>
      <w:bookmarkEnd w:id="55"/>
    </w:p>
    <w:p w:rsidR="00284D8C" w:rsidRDefault="00284D8C" w:rsidP="00264877">
      <w:pPr>
        <w:pStyle w:val="Heading2"/>
      </w:pPr>
      <w:bookmarkStart w:id="56" w:name="_Toc397078328"/>
      <w:bookmarkStart w:id="57" w:name="_Toc390878804"/>
      <w:bookmarkStart w:id="58" w:name="_Toc394672313"/>
      <w:r>
        <w:t>New for F</w:t>
      </w:r>
      <w:r w:rsidR="00E00F2E">
        <w:t>iscal Year</w:t>
      </w:r>
      <w:r>
        <w:t xml:space="preserve"> 2014</w:t>
      </w:r>
      <w:bookmarkEnd w:id="56"/>
    </w:p>
    <w:p w:rsidR="00284D8C" w:rsidRPr="00736591" w:rsidRDefault="00284D8C" w:rsidP="00284D8C">
      <w:pPr>
        <w:pStyle w:val="Heading3"/>
      </w:pPr>
      <w:bookmarkStart w:id="59" w:name="_Toc394672318"/>
      <w:bookmarkStart w:id="60" w:name="_Toc397078329"/>
      <w:r w:rsidRPr="00736591">
        <w:t>Payments By Check Will No Longer Be Accepted for Payment of Annual Regulatory Fees</w:t>
      </w:r>
      <w:bookmarkEnd w:id="59"/>
      <w:bookmarkEnd w:id="60"/>
    </w:p>
    <w:p w:rsidR="00284D8C" w:rsidRDefault="00A052C7" w:rsidP="00F15C95">
      <w:pPr>
        <w:pStyle w:val="ParaNum"/>
        <w:rPr>
          <w:sz w:val="24"/>
          <w:szCs w:val="24"/>
        </w:rPr>
      </w:pPr>
      <w:r>
        <w:t xml:space="preserve">Pursuant to </w:t>
      </w:r>
      <w:r w:rsidR="00284D8C">
        <w:t>an Office of Management and Budget (OMB) directive,</w:t>
      </w:r>
      <w:r w:rsidR="00284D8C" w:rsidRPr="00736591">
        <w:rPr>
          <w:rStyle w:val="FootnoteReference"/>
        </w:rPr>
        <w:t xml:space="preserve"> </w:t>
      </w:r>
      <w:r w:rsidR="00284D8C">
        <w:rPr>
          <w:rStyle w:val="FootnoteReference"/>
        </w:rPr>
        <w:footnoteReference w:id="135"/>
      </w:r>
      <w:r w:rsidR="00284D8C">
        <w:rPr>
          <w:vertAlign w:val="superscript"/>
        </w:rPr>
        <w:t xml:space="preserve"> </w:t>
      </w:r>
      <w:r w:rsidR="00284D8C">
        <w:t xml:space="preserve"> the Commission is moving towards a paperless environment, </w:t>
      </w:r>
      <w:r>
        <w:t>extending to</w:t>
      </w:r>
      <w:r w:rsidR="00284D8C">
        <w:t xml:space="preserve"> disbursement and collection of select federal government payments and receipts.</w:t>
      </w:r>
      <w:r w:rsidR="00284D8C">
        <w:rPr>
          <w:rStyle w:val="FootnoteReference"/>
        </w:rPr>
        <w:footnoteReference w:id="136"/>
      </w:r>
      <w:r w:rsidR="00284D8C">
        <w:rPr>
          <w:vertAlign w:val="superscript"/>
        </w:rPr>
        <w:t xml:space="preserve"> </w:t>
      </w:r>
      <w:r w:rsidR="003D2C33">
        <w:rPr>
          <w:vertAlign w:val="superscript"/>
        </w:rPr>
        <w:t xml:space="preserve"> </w:t>
      </w:r>
      <w:r w:rsidR="00284D8C">
        <w:t>The initiative to reduce paper and curtail check payments for regulatory fees is expected to produce cost savings, reduce errors, and improve efficiencies across government.  Accordingly, the Commission will no longer accept checks (including cashier’s checks and money orders) and the accompanyin</w:t>
      </w:r>
      <w:r w:rsidR="008934D9">
        <w:t>g hardcopy forms (e.g., Forms 159</w:t>
      </w:r>
      <w:r w:rsidR="00284D8C">
        <w:t xml:space="preserve">, 159-B, 159-E, </w:t>
      </w:r>
      <w:r w:rsidR="008934D9">
        <w:t>159-W</w:t>
      </w:r>
      <w:r w:rsidR="00284D8C">
        <w:t>) for the payment of regulatory fees.  This new paperless procedure will require that all payments be made by online ACH payment, online credit card, or wire transfer.  Any other form of payment (e.g., checks, cashier’s checks, or money orders) will be rejected.  For payments by wire, a Form 159-E should still be transmitted via fax so that the Commission can associate the wire payment with the correct regulatory fee information.  This change will affect all payments of regulatory fees.</w:t>
      </w:r>
      <w:r w:rsidR="00284D8C">
        <w:rPr>
          <w:rStyle w:val="FootnoteReference"/>
        </w:rPr>
        <w:footnoteReference w:id="137"/>
      </w:r>
    </w:p>
    <w:p w:rsidR="00264877" w:rsidRPr="007F7B4B" w:rsidRDefault="00264877" w:rsidP="00264877">
      <w:pPr>
        <w:pStyle w:val="Heading2"/>
      </w:pPr>
      <w:bookmarkStart w:id="61" w:name="_Toc397078330"/>
      <w:r w:rsidRPr="007F7B4B">
        <w:t>Assessment Notifications</w:t>
      </w:r>
      <w:bookmarkEnd w:id="57"/>
      <w:bookmarkEnd w:id="58"/>
      <w:bookmarkEnd w:id="61"/>
    </w:p>
    <w:p w:rsidR="00264877" w:rsidRPr="007F7B4B" w:rsidRDefault="00264877" w:rsidP="00264877">
      <w:pPr>
        <w:pStyle w:val="Heading3"/>
        <w:rPr>
          <w:szCs w:val="22"/>
        </w:rPr>
      </w:pPr>
      <w:bookmarkStart w:id="62" w:name="_Toc285458165"/>
      <w:bookmarkStart w:id="63" w:name="_Toc289263526"/>
      <w:bookmarkStart w:id="64" w:name="_Toc292177314"/>
      <w:bookmarkStart w:id="65" w:name="_Toc296691754"/>
      <w:bookmarkStart w:id="66" w:name="_Toc297116974"/>
      <w:bookmarkStart w:id="67" w:name="_Toc298752202"/>
      <w:bookmarkStart w:id="68" w:name="_Toc299091567"/>
      <w:bookmarkStart w:id="69" w:name="_Toc319681880"/>
      <w:bookmarkStart w:id="70" w:name="_Toc320103187"/>
      <w:bookmarkStart w:id="71" w:name="_Toc320615937"/>
      <w:bookmarkStart w:id="72" w:name="_Toc320616355"/>
      <w:bookmarkStart w:id="73" w:name="_Toc320616494"/>
      <w:bookmarkStart w:id="74" w:name="_Toc320632315"/>
      <w:bookmarkStart w:id="75" w:name="_Toc320632348"/>
      <w:bookmarkStart w:id="76" w:name="_Toc320639455"/>
      <w:bookmarkStart w:id="77" w:name="_Toc321130254"/>
      <w:bookmarkStart w:id="78" w:name="_Toc321301156"/>
      <w:bookmarkStart w:id="79" w:name="_Toc327344912"/>
      <w:bookmarkStart w:id="80" w:name="_Toc327454752"/>
      <w:bookmarkStart w:id="81" w:name="_Toc328052396"/>
      <w:bookmarkStart w:id="82" w:name="_Toc330473847"/>
      <w:bookmarkStart w:id="83" w:name="_Toc390878805"/>
      <w:bookmarkStart w:id="84" w:name="_Toc391364435"/>
      <w:bookmarkStart w:id="85" w:name="_Toc394672314"/>
      <w:bookmarkStart w:id="86" w:name="_Toc397078331"/>
      <w:r w:rsidRPr="007F7B4B">
        <w:rPr>
          <w:szCs w:val="22"/>
        </w:rPr>
        <w:t>C</w:t>
      </w:r>
      <w:r>
        <w:rPr>
          <w:szCs w:val="22"/>
        </w:rPr>
        <w:t>ommercial Mobile Radio Service (C</w:t>
      </w:r>
      <w:r w:rsidRPr="007F7B4B">
        <w:rPr>
          <w:szCs w:val="22"/>
        </w:rPr>
        <w:t>MRS</w:t>
      </w:r>
      <w:r>
        <w:rPr>
          <w:szCs w:val="22"/>
        </w:rPr>
        <w:t>)</w:t>
      </w:r>
      <w:r w:rsidRPr="007F7B4B">
        <w:rPr>
          <w:szCs w:val="22"/>
        </w:rPr>
        <w:t xml:space="preserve"> Cellular and Mobile Services Assessments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7F7B4B">
        <w:rPr>
          <w:szCs w:val="22"/>
        </w:rPr>
        <w:t xml:space="preserve">   </w:t>
      </w:r>
    </w:p>
    <w:p w:rsidR="00264877" w:rsidRPr="007F7B4B" w:rsidRDefault="00C42102" w:rsidP="00F15C95">
      <w:pPr>
        <w:pStyle w:val="ParaNum"/>
        <w:rPr>
          <w:szCs w:val="22"/>
        </w:rPr>
      </w:pPr>
      <w:r w:rsidRPr="002B0EE4">
        <w:t>For regulatory fee collection in FY 2014, we will continue to follow our current procedures for conveying CMRS subscriber counts to providers</w:t>
      </w:r>
      <w:r w:rsidR="00C5508A">
        <w:t>, except that in FY 2014 and thereafter, the Commission will no longer mail out the initial CMRS assessment letters to providers</w:t>
      </w:r>
      <w:r w:rsidRPr="002B0EE4">
        <w:t>.</w:t>
      </w:r>
      <w:r w:rsidR="00C5508A">
        <w:t xml:space="preserve">  </w:t>
      </w:r>
      <w:r w:rsidRPr="002B0EE4">
        <w:t>The Commission will compile data from the Numbering Resource Utilization Forecast (NRUF) report that is based on “assigned” telephone number (subscriber) counts that have been adjusted for porting to net Type 0 ports (“in” and “out”).</w:t>
      </w:r>
      <w:r w:rsidR="00F86EEB">
        <w:rPr>
          <w:rStyle w:val="FootnoteReference"/>
        </w:rPr>
        <w:footnoteReference w:id="138"/>
      </w:r>
      <w:r w:rsidR="00F86EEB">
        <w:t xml:space="preserve">  </w:t>
      </w:r>
      <w:r w:rsidRPr="002B0EE4">
        <w:t>This information of telephone numbers (subscriber count) will be posted on the Commission’s electronic filing and payment system (Fee Filer) along with the carrier’s Operating Company Numbers (OCNs).</w:t>
      </w:r>
      <w:r w:rsidR="00264877" w:rsidRPr="007F7B4B">
        <w:rPr>
          <w:szCs w:val="22"/>
        </w:rPr>
        <w:t xml:space="preserve">  </w:t>
      </w:r>
    </w:p>
    <w:p w:rsidR="00264877" w:rsidRPr="007F7B4B" w:rsidRDefault="00C42102" w:rsidP="00F15C95">
      <w:pPr>
        <w:pStyle w:val="ParaNum"/>
        <w:rPr>
          <w:szCs w:val="22"/>
        </w:rPr>
      </w:pPr>
      <w:r w:rsidRPr="002B0EE4">
        <w:t>A carrier wishing to revise its telephone number (subscriber) count can do so by accessing Fee Filer and follow the prompts to revise their telephone number counts.  Any revisions to the telephone number counts should be accompanied by an explanation or</w:t>
      </w:r>
      <w:r w:rsidRPr="002B0EE4">
        <w:rPr>
          <w:rStyle w:val="CommentReference"/>
        </w:rPr>
        <w:t> </w:t>
      </w:r>
      <w:r w:rsidRPr="002B0EE4">
        <w:t>supporting documentation.</w:t>
      </w:r>
      <w:r w:rsidR="00F86EEB">
        <w:rPr>
          <w:rStyle w:val="FootnoteReference"/>
        </w:rPr>
        <w:footnoteReference w:id="139"/>
      </w:r>
      <w:r w:rsidRPr="002B0EE4">
        <w:t xml:space="preserve">  The Commission will then review the revised count and supporting documentation and either approve or </w:t>
      </w:r>
      <w:r w:rsidRPr="002B0EE4">
        <w:lastRenderedPageBreak/>
        <w:t xml:space="preserve">disapprove the submission in Fee Filer.  If the submission is disapproved, the Commission will contact the provider to afford the provider an opportunity to discuss its revised subscriber count and/or provide additional supporting documentation.  If we receive no response from the provider, or we do not reverse our initial disapproval of the provider’s revised count submission, the fee payment </w:t>
      </w:r>
      <w:r w:rsidR="00B01D90">
        <w:t>must</w:t>
      </w:r>
      <w:r w:rsidRPr="002B0EE4">
        <w:t xml:space="preserve"> be based on the number of subscribers listed initially in Fee Filer.  Once the timeframe for revision has passed, the telephone number counts are final and are the basis upon which CMRS regulatory fees are to be paid.  Providers can view their final telephone counts online in Fee Filer.  A final CMRS assessment letter will not be mailed out. </w:t>
      </w:r>
      <w:r w:rsidR="00264877" w:rsidRPr="007F7B4B">
        <w:rPr>
          <w:szCs w:val="22"/>
        </w:rPr>
        <w:t xml:space="preserve">        </w:t>
      </w:r>
    </w:p>
    <w:p w:rsidR="00264877" w:rsidRPr="007F7B4B" w:rsidRDefault="00C42102" w:rsidP="00F15C95">
      <w:pPr>
        <w:pStyle w:val="ParaNum"/>
        <w:rPr>
          <w:szCs w:val="22"/>
        </w:rPr>
      </w:pPr>
      <w:r w:rsidRPr="002B0EE4">
        <w:t xml:space="preserve">Because some carriers do not file the NRUF report, they may not see their telephone number counts in Fee Filer.  In these instances, the carriers should compute their fee payment using the standard methodology that is currently in place for CMRS Wireless services (i.e., compute their telephone number counts as of December 31, 2013), and submit their fee payment accordingly.  Whether a carrier reviews their telephone number counts in Fee Filer or not, the Commission reserves the right to audit the number of telephone numbers for which regulatory fees are paid.  In the event that the Commission determines that the number of telephone numbers that are paid is inaccurate, the Commission will bill the carrier for the difference between what was paid and what should have been paid. </w:t>
      </w:r>
      <w:r w:rsidR="00264877" w:rsidRPr="007F7B4B">
        <w:rPr>
          <w:szCs w:val="22"/>
        </w:rPr>
        <w:t xml:space="preserve"> </w:t>
      </w:r>
    </w:p>
    <w:p w:rsidR="00264877" w:rsidRPr="007F7B4B" w:rsidRDefault="00264877" w:rsidP="00264877">
      <w:pPr>
        <w:pStyle w:val="Heading2"/>
      </w:pPr>
      <w:bookmarkStart w:id="87" w:name="_Toc285458170"/>
      <w:bookmarkStart w:id="88" w:name="_Toc289263533"/>
      <w:bookmarkStart w:id="89" w:name="_Toc292177321"/>
      <w:bookmarkStart w:id="90" w:name="_Toc296691761"/>
      <w:bookmarkStart w:id="91" w:name="_Toc297116981"/>
      <w:bookmarkStart w:id="92" w:name="_Toc298752209"/>
      <w:bookmarkStart w:id="93" w:name="_Toc299091574"/>
      <w:bookmarkStart w:id="94" w:name="_Toc319681886"/>
      <w:bookmarkStart w:id="95" w:name="_Toc320103193"/>
      <w:bookmarkStart w:id="96" w:name="_Toc320615943"/>
      <w:bookmarkStart w:id="97" w:name="_Toc320616361"/>
      <w:bookmarkStart w:id="98" w:name="_Toc320616500"/>
      <w:bookmarkStart w:id="99" w:name="_Toc320632321"/>
      <w:bookmarkStart w:id="100" w:name="_Toc320632354"/>
      <w:bookmarkStart w:id="101" w:name="_Toc320639461"/>
      <w:bookmarkStart w:id="102" w:name="_Toc321130260"/>
      <w:bookmarkStart w:id="103" w:name="_Toc321301162"/>
      <w:bookmarkStart w:id="104" w:name="_Toc327344918"/>
      <w:bookmarkStart w:id="105" w:name="_Toc327454758"/>
      <w:bookmarkStart w:id="106" w:name="_Toc328052401"/>
      <w:bookmarkStart w:id="107" w:name="_Toc330473852"/>
      <w:bookmarkStart w:id="108" w:name="_Toc390878806"/>
      <w:bookmarkStart w:id="109" w:name="_Toc394672315"/>
      <w:bookmarkStart w:id="110" w:name="_Toc397078332"/>
      <w:r w:rsidRPr="007F7B4B">
        <w:t>Payment of Regulatory Fees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264877" w:rsidRPr="007F7B4B" w:rsidRDefault="00264877" w:rsidP="00264877">
      <w:pPr>
        <w:pStyle w:val="Heading3"/>
        <w:rPr>
          <w:szCs w:val="22"/>
        </w:rPr>
      </w:pPr>
      <w:bookmarkStart w:id="111" w:name="_Toc285458171"/>
      <w:bookmarkStart w:id="112" w:name="_Toc289263534"/>
      <w:bookmarkStart w:id="113" w:name="_Toc292177322"/>
      <w:bookmarkStart w:id="114" w:name="_Toc296691762"/>
      <w:bookmarkStart w:id="115" w:name="_Toc297116982"/>
      <w:bookmarkStart w:id="116" w:name="_Toc298752210"/>
      <w:bookmarkStart w:id="117" w:name="_Toc299091575"/>
      <w:bookmarkStart w:id="118" w:name="_Toc319681887"/>
      <w:bookmarkStart w:id="119" w:name="_Toc320103194"/>
      <w:bookmarkStart w:id="120" w:name="_Toc320615944"/>
      <w:bookmarkStart w:id="121" w:name="_Toc320616362"/>
      <w:bookmarkStart w:id="122" w:name="_Toc320616501"/>
      <w:bookmarkStart w:id="123" w:name="_Toc320632322"/>
      <w:bookmarkStart w:id="124" w:name="_Toc320632355"/>
      <w:bookmarkStart w:id="125" w:name="_Toc320639462"/>
      <w:bookmarkStart w:id="126" w:name="_Toc321130261"/>
      <w:bookmarkStart w:id="127" w:name="_Toc321301163"/>
      <w:bookmarkStart w:id="128" w:name="_Toc327344919"/>
      <w:bookmarkStart w:id="129" w:name="_Toc327454759"/>
      <w:bookmarkStart w:id="130" w:name="_Toc328052402"/>
      <w:bookmarkStart w:id="131" w:name="_Toc330473853"/>
      <w:bookmarkStart w:id="132" w:name="_Toc390878807"/>
      <w:bookmarkStart w:id="133" w:name="_Toc391364437"/>
      <w:bookmarkStart w:id="134" w:name="_Toc394672316"/>
      <w:bookmarkStart w:id="135" w:name="_Toc397078333"/>
      <w:r w:rsidRPr="007F7B4B">
        <w:rPr>
          <w:szCs w:val="22"/>
        </w:rPr>
        <w:t>Lock Box Bank</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64877" w:rsidRPr="007F7B4B" w:rsidRDefault="00264877" w:rsidP="00D07E62">
      <w:pPr>
        <w:pStyle w:val="ParaNum"/>
        <w:widowControl/>
      </w:pPr>
      <w:r w:rsidRPr="007F7B4B">
        <w:t>All lock box payments to the Commission for FY 201</w:t>
      </w:r>
      <w:r>
        <w:t>4</w:t>
      </w:r>
      <w:r w:rsidRPr="007F7B4B">
        <w:t xml:space="preserve"> will be processed by U.S. Bank, St. Louis, Missouri, and payable to the FCC.  During the fee season for collecting FY 201</w:t>
      </w:r>
      <w:r>
        <w:t>4</w:t>
      </w:r>
      <w:r w:rsidRPr="007F7B4B">
        <w:t xml:space="preserve"> regulatory fees, regulatees can pay their fees by </w:t>
      </w:r>
      <w:r w:rsidRPr="004739BE">
        <w:t>credit</w:t>
      </w:r>
      <w:r w:rsidRPr="007F7B4B">
        <w:t xml:space="preserve"> card through Pay.gov,</w:t>
      </w:r>
      <w:r w:rsidRPr="007F7B4B">
        <w:rPr>
          <w:rStyle w:val="FootnoteReference"/>
          <w:szCs w:val="22"/>
        </w:rPr>
        <w:footnoteReference w:id="140"/>
      </w:r>
      <w:r w:rsidRPr="007F7B4B">
        <w:t xml:space="preserve"> </w:t>
      </w:r>
      <w:r>
        <w:t xml:space="preserve">ACH, </w:t>
      </w:r>
      <w:r w:rsidRPr="007F7B4B">
        <w:t>debit card,</w:t>
      </w:r>
      <w:r w:rsidRPr="007F7B4B">
        <w:rPr>
          <w:rStyle w:val="FootnoteReference"/>
          <w:szCs w:val="22"/>
        </w:rPr>
        <w:footnoteReference w:id="141"/>
      </w:r>
      <w:r w:rsidRPr="007F7B4B">
        <w:t xml:space="preserve"> or by </w:t>
      </w:r>
      <w:r>
        <w:t xml:space="preserve">wire transfer.  </w:t>
      </w:r>
      <w:r w:rsidRPr="007F7B4B">
        <w:t xml:space="preserve">Additional payment instructions are posted at </w:t>
      </w:r>
      <w:hyperlink r:id="rId7" w:history="1">
        <w:r w:rsidRPr="001C6185">
          <w:rPr>
            <w:rStyle w:val="Hyperlink"/>
            <w:szCs w:val="22"/>
          </w:rPr>
          <w:t>http://transition.fcc.gov/fees/regfees.html</w:t>
        </w:r>
      </w:hyperlink>
      <w:r w:rsidRPr="007F7B4B">
        <w:rPr>
          <w:u w:val="single"/>
        </w:rPr>
        <w:t>.</w:t>
      </w:r>
      <w:r w:rsidRPr="007F7B4B">
        <w:t xml:space="preserve"> </w:t>
      </w:r>
    </w:p>
    <w:p w:rsidR="00264877" w:rsidRPr="007F7B4B" w:rsidRDefault="00264877" w:rsidP="00264877">
      <w:pPr>
        <w:pStyle w:val="Heading3"/>
        <w:rPr>
          <w:szCs w:val="22"/>
        </w:rPr>
      </w:pPr>
      <w:bookmarkStart w:id="136" w:name="_Toc285458172"/>
      <w:bookmarkStart w:id="137" w:name="_Toc289263535"/>
      <w:bookmarkStart w:id="138" w:name="_Toc292177323"/>
      <w:bookmarkStart w:id="139" w:name="_Toc296691763"/>
      <w:bookmarkStart w:id="140" w:name="_Toc297116983"/>
      <w:bookmarkStart w:id="141" w:name="_Toc298752211"/>
      <w:bookmarkStart w:id="142" w:name="_Toc299091576"/>
      <w:bookmarkStart w:id="143" w:name="_Toc319681888"/>
      <w:bookmarkStart w:id="144" w:name="_Toc320103195"/>
      <w:bookmarkStart w:id="145" w:name="_Toc320615945"/>
      <w:bookmarkStart w:id="146" w:name="_Toc320616363"/>
      <w:bookmarkStart w:id="147" w:name="_Toc320616502"/>
      <w:bookmarkStart w:id="148" w:name="_Toc320632323"/>
      <w:bookmarkStart w:id="149" w:name="_Toc320632356"/>
      <w:bookmarkStart w:id="150" w:name="_Toc320639463"/>
      <w:bookmarkStart w:id="151" w:name="_Toc321130262"/>
      <w:bookmarkStart w:id="152" w:name="_Toc321301164"/>
      <w:bookmarkStart w:id="153" w:name="_Toc327344920"/>
      <w:bookmarkStart w:id="154" w:name="_Toc327454760"/>
      <w:bookmarkStart w:id="155" w:name="_Toc328052403"/>
      <w:bookmarkStart w:id="156" w:name="_Toc330473854"/>
      <w:bookmarkStart w:id="157" w:name="_Toc390878808"/>
      <w:bookmarkStart w:id="158" w:name="_Toc391364438"/>
      <w:bookmarkStart w:id="159" w:name="_Toc394672317"/>
      <w:bookmarkStart w:id="160" w:name="_Toc397078334"/>
      <w:r w:rsidRPr="007F7B4B">
        <w:rPr>
          <w:szCs w:val="22"/>
        </w:rPr>
        <w:t>Receiving Bank for Wire Payments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264877" w:rsidRPr="008B7DC7" w:rsidRDefault="00264877" w:rsidP="00F15C95">
      <w:pPr>
        <w:pStyle w:val="ParaNum"/>
        <w:rPr>
          <w:rStyle w:val="Hyperlink"/>
          <w:color w:val="auto"/>
          <w:szCs w:val="22"/>
          <w:u w:val="none"/>
        </w:rPr>
      </w:pPr>
      <w:r w:rsidRPr="007F7B4B">
        <w:t xml:space="preserve">The receiving bank for all wire payments is the Federal Reserve Bank, New York, New York (TREAS NYC).  When making a wire transfer, regulatees must fax a copy of their Fee Filer generated Form 159-E to U.S. Bank, St. Louis, Missouri at (314) 418-4232 at least one hour before initiating the wire transfer (but on the same business day) so as not to delay crediting their account.  Regulatees should discuss arrangements (including bank closing schedules) with their bankers several days before they plan to make the wire transfer to allow sufficient time for the transfer to be initiated and completed before the deadline.  Complete instructions for making wire payments are posted at </w:t>
      </w:r>
      <w:hyperlink r:id="rId8" w:tooltip="http://transition.fcc.gov/fees/wiretran.html" w:history="1">
        <w:r w:rsidRPr="007F7B4B">
          <w:rPr>
            <w:rStyle w:val="Hyperlink"/>
            <w:szCs w:val="22"/>
          </w:rPr>
          <w:t>http://transition.fcc.gov/fees/wiretran.html</w:t>
        </w:r>
      </w:hyperlink>
      <w:r w:rsidRPr="007F7B4B">
        <w:rPr>
          <w:rStyle w:val="Hyperlink"/>
          <w:szCs w:val="22"/>
        </w:rPr>
        <w:t>.</w:t>
      </w:r>
    </w:p>
    <w:p w:rsidR="00264877" w:rsidRPr="007F7B4B" w:rsidRDefault="00264877" w:rsidP="00264877">
      <w:pPr>
        <w:pStyle w:val="Heading3"/>
        <w:rPr>
          <w:szCs w:val="22"/>
        </w:rPr>
      </w:pPr>
      <w:bookmarkStart w:id="161" w:name="_Toc285458173"/>
      <w:bookmarkStart w:id="162" w:name="_Toc289263536"/>
      <w:bookmarkStart w:id="163" w:name="_Toc292177324"/>
      <w:bookmarkStart w:id="164" w:name="_Toc296691764"/>
      <w:bookmarkStart w:id="165" w:name="_Toc297116984"/>
      <w:bookmarkStart w:id="166" w:name="_Toc298752212"/>
      <w:bookmarkStart w:id="167" w:name="_Toc299091577"/>
      <w:bookmarkStart w:id="168" w:name="_Toc319681889"/>
      <w:bookmarkStart w:id="169" w:name="_Toc320103196"/>
      <w:bookmarkStart w:id="170" w:name="_Toc320615946"/>
      <w:bookmarkStart w:id="171" w:name="_Toc320616364"/>
      <w:bookmarkStart w:id="172" w:name="_Toc320616503"/>
      <w:bookmarkStart w:id="173" w:name="_Toc320632324"/>
      <w:bookmarkStart w:id="174" w:name="_Toc320632357"/>
      <w:bookmarkStart w:id="175" w:name="_Toc320639464"/>
      <w:bookmarkStart w:id="176" w:name="_Toc321130263"/>
      <w:bookmarkStart w:id="177" w:name="_Toc321301165"/>
      <w:bookmarkStart w:id="178" w:name="_Toc327344921"/>
      <w:bookmarkStart w:id="179" w:name="_Toc327454761"/>
      <w:bookmarkStart w:id="180" w:name="_Toc328052404"/>
      <w:bookmarkStart w:id="181" w:name="_Toc330473855"/>
      <w:bookmarkStart w:id="182" w:name="_Toc390878809"/>
      <w:bookmarkStart w:id="183" w:name="_Toc391364439"/>
      <w:bookmarkStart w:id="184" w:name="_Toc394672319"/>
      <w:bookmarkStart w:id="185" w:name="_Toc397078335"/>
      <w:r w:rsidRPr="007F7B4B">
        <w:rPr>
          <w:szCs w:val="22"/>
        </w:rPr>
        <w:lastRenderedPageBreak/>
        <w:t>De Minimis Regulatory Fees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264877" w:rsidRDefault="00264877" w:rsidP="001063AA">
      <w:pPr>
        <w:pStyle w:val="ParaNum"/>
        <w:widowControl/>
      </w:pPr>
      <w:r w:rsidRPr="007F7B4B">
        <w:t>Regulatees whose total FY 201</w:t>
      </w:r>
      <w:r>
        <w:t>4</w:t>
      </w:r>
      <w:r w:rsidRPr="007F7B4B">
        <w:t xml:space="preserve"> regulatory fee liability, including all categories of fees for which payment is due, is less than $10 are </w:t>
      </w:r>
      <w:r>
        <w:t>exempted from payment of FY 2014</w:t>
      </w:r>
      <w:r w:rsidRPr="007F7B4B">
        <w:t xml:space="preserve"> regulatory fees.</w:t>
      </w:r>
      <w:r>
        <w:t xml:space="preserve">  The new $500 de minimis threshold we adopt here will be effective for payment of FY 2015 regulatory fees.</w:t>
      </w:r>
    </w:p>
    <w:p w:rsidR="00264877" w:rsidRPr="007F7B4B" w:rsidRDefault="00264877" w:rsidP="00264877">
      <w:pPr>
        <w:pStyle w:val="Heading3"/>
        <w:rPr>
          <w:szCs w:val="22"/>
        </w:rPr>
      </w:pPr>
      <w:bookmarkStart w:id="186" w:name="_Toc285458174"/>
      <w:bookmarkStart w:id="187" w:name="_Toc289263537"/>
      <w:bookmarkStart w:id="188" w:name="_Toc292177325"/>
      <w:bookmarkStart w:id="189" w:name="_Toc296691765"/>
      <w:bookmarkStart w:id="190" w:name="_Toc297116985"/>
      <w:bookmarkStart w:id="191" w:name="_Toc298752213"/>
      <w:bookmarkStart w:id="192" w:name="_Toc299091578"/>
      <w:bookmarkStart w:id="193" w:name="_Toc319681890"/>
      <w:bookmarkStart w:id="194" w:name="_Toc320103197"/>
      <w:bookmarkStart w:id="195" w:name="_Toc320615947"/>
      <w:bookmarkStart w:id="196" w:name="_Toc320616365"/>
      <w:bookmarkStart w:id="197" w:name="_Toc320616504"/>
      <w:bookmarkStart w:id="198" w:name="_Toc320632325"/>
      <w:bookmarkStart w:id="199" w:name="_Toc320632358"/>
      <w:bookmarkStart w:id="200" w:name="_Toc320639465"/>
      <w:bookmarkStart w:id="201" w:name="_Toc321130264"/>
      <w:bookmarkStart w:id="202" w:name="_Toc321301166"/>
      <w:bookmarkStart w:id="203" w:name="_Toc327344922"/>
      <w:bookmarkStart w:id="204" w:name="_Toc327454762"/>
      <w:bookmarkStart w:id="205" w:name="_Toc328052405"/>
      <w:bookmarkStart w:id="206" w:name="_Toc330473856"/>
      <w:bookmarkStart w:id="207" w:name="_Toc390878810"/>
      <w:bookmarkStart w:id="208" w:name="_Toc391364440"/>
      <w:bookmarkStart w:id="209" w:name="_Toc394672320"/>
      <w:bookmarkStart w:id="210" w:name="_Toc397078336"/>
      <w:r w:rsidRPr="007F7B4B">
        <w:rPr>
          <w:szCs w:val="22"/>
        </w:rPr>
        <w:t>Standard Fee Calculations and Payment Dates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64877" w:rsidRPr="007F7B4B" w:rsidRDefault="00264877" w:rsidP="00F15C95">
      <w:pPr>
        <w:pStyle w:val="ParaNum"/>
      </w:pPr>
      <w:r w:rsidRPr="007F7B4B">
        <w:t>The Commission will accept fee payments made in advance of the window for the payment of regulatory fees.  The responsibility for payment of fees by service category is as follows:</w:t>
      </w:r>
    </w:p>
    <w:p w:rsidR="00264877" w:rsidRPr="007F7B4B" w:rsidRDefault="00264877" w:rsidP="00264877">
      <w:pPr>
        <w:numPr>
          <w:ilvl w:val="0"/>
          <w:numId w:val="6"/>
        </w:numPr>
        <w:rPr>
          <w:szCs w:val="22"/>
        </w:rPr>
      </w:pPr>
      <w:r w:rsidRPr="007F7B4B">
        <w:rPr>
          <w:i/>
          <w:szCs w:val="22"/>
        </w:rPr>
        <w:t>Media Services</w:t>
      </w:r>
      <w:r w:rsidRPr="007F7B4B">
        <w:rPr>
          <w:szCs w:val="22"/>
        </w:rPr>
        <w:t>:  Regulatory fees must be paid for initial construction permits that were granted on or before October 1, 201</w:t>
      </w:r>
      <w:r>
        <w:rPr>
          <w:szCs w:val="22"/>
        </w:rPr>
        <w:t>3</w:t>
      </w:r>
      <w:r w:rsidRPr="007F7B4B">
        <w:rPr>
          <w:szCs w:val="22"/>
        </w:rPr>
        <w:t xml:space="preserve"> for AM/FM radio stations, VHF/UHF full service television stations, and satellite television stations.  Regulatory fees must be paid for all broadcast facility licenses granted on or before October 1, 201</w:t>
      </w:r>
      <w:r>
        <w:rPr>
          <w:szCs w:val="22"/>
        </w:rPr>
        <w:t>3</w:t>
      </w:r>
      <w:r w:rsidRPr="007F7B4B">
        <w:rPr>
          <w:szCs w:val="22"/>
        </w:rPr>
        <w:t>.  In instances where a permit or license is transferred or assigned after October 1, 201</w:t>
      </w:r>
      <w:r>
        <w:rPr>
          <w:szCs w:val="22"/>
        </w:rPr>
        <w:t>3</w:t>
      </w:r>
      <w:r w:rsidRPr="007F7B4B">
        <w:rPr>
          <w:szCs w:val="22"/>
        </w:rPr>
        <w:t>, responsibility for payment rests with the holder of the permit or license as of the fee due date.</w:t>
      </w:r>
    </w:p>
    <w:p w:rsidR="00264877" w:rsidRPr="007F7B4B" w:rsidRDefault="00264877" w:rsidP="00264877">
      <w:pPr>
        <w:ind w:left="450"/>
        <w:rPr>
          <w:szCs w:val="22"/>
        </w:rPr>
      </w:pPr>
    </w:p>
    <w:p w:rsidR="00264877" w:rsidRPr="007F7B4B" w:rsidRDefault="00264877" w:rsidP="00264877">
      <w:pPr>
        <w:numPr>
          <w:ilvl w:val="0"/>
          <w:numId w:val="6"/>
        </w:numPr>
        <w:rPr>
          <w:szCs w:val="22"/>
        </w:rPr>
      </w:pPr>
      <w:r w:rsidRPr="007F7B4B">
        <w:rPr>
          <w:i/>
          <w:szCs w:val="22"/>
        </w:rPr>
        <w:t>Wireline (Common Carrier) Services</w:t>
      </w:r>
      <w:r w:rsidRPr="007F7B4B">
        <w:rPr>
          <w:szCs w:val="22"/>
        </w:rPr>
        <w:t>:  Regulatory fees must be paid for authorizations that were granted on or before October 1, 201</w:t>
      </w:r>
      <w:r>
        <w:rPr>
          <w:szCs w:val="22"/>
        </w:rPr>
        <w:t>3</w:t>
      </w:r>
      <w:r w:rsidRPr="007F7B4B">
        <w:rPr>
          <w:szCs w:val="22"/>
        </w:rPr>
        <w:t>.  In instances where a permit or license is transferred or assigned after October 1, 201</w:t>
      </w:r>
      <w:r>
        <w:rPr>
          <w:szCs w:val="22"/>
        </w:rPr>
        <w:t>3</w:t>
      </w:r>
      <w:r w:rsidRPr="007F7B4B">
        <w:rPr>
          <w:szCs w:val="22"/>
        </w:rPr>
        <w:t xml:space="preserve">, responsibility for payment rests with the holder of the permit or license as of the fee due date.  </w:t>
      </w:r>
      <w:r>
        <w:rPr>
          <w:szCs w:val="22"/>
        </w:rPr>
        <w:t>A</w:t>
      </w:r>
      <w:r w:rsidRPr="007F7B4B">
        <w:rPr>
          <w:szCs w:val="22"/>
        </w:rPr>
        <w:t>udio bridging service providers are included in this category.</w:t>
      </w:r>
      <w:r w:rsidRPr="007F7B4B">
        <w:rPr>
          <w:rStyle w:val="FootnoteReference"/>
          <w:szCs w:val="22"/>
        </w:rPr>
        <w:footnoteReference w:id="142"/>
      </w:r>
    </w:p>
    <w:p w:rsidR="00264877" w:rsidRPr="007F7B4B" w:rsidRDefault="00264877" w:rsidP="00264877">
      <w:pPr>
        <w:ind w:left="450"/>
        <w:rPr>
          <w:szCs w:val="22"/>
        </w:rPr>
      </w:pPr>
    </w:p>
    <w:p w:rsidR="00264877" w:rsidRPr="007F7B4B" w:rsidRDefault="00264877" w:rsidP="00264877">
      <w:pPr>
        <w:numPr>
          <w:ilvl w:val="0"/>
          <w:numId w:val="6"/>
        </w:numPr>
        <w:rPr>
          <w:szCs w:val="22"/>
        </w:rPr>
      </w:pPr>
      <w:r w:rsidRPr="007F7B4B">
        <w:rPr>
          <w:i/>
          <w:szCs w:val="22"/>
        </w:rPr>
        <w:t>Wireless Services</w:t>
      </w:r>
      <w:r w:rsidRPr="007F7B4B">
        <w:rPr>
          <w:szCs w:val="22"/>
        </w:rPr>
        <w:t>:  CMRS cellular, mobile, and messaging services (fees based on number of subscribers or telephone number count):  Regulatory fees must be paid for authorizations that were granted on or before October 1, 201</w:t>
      </w:r>
      <w:r>
        <w:rPr>
          <w:szCs w:val="22"/>
        </w:rPr>
        <w:t>3</w:t>
      </w:r>
      <w:r w:rsidRPr="007F7B4B">
        <w:rPr>
          <w:szCs w:val="22"/>
        </w:rPr>
        <w:t>.  The number of subscribers, units, or telephone numbers on December 31, 201</w:t>
      </w:r>
      <w:r>
        <w:rPr>
          <w:szCs w:val="22"/>
        </w:rPr>
        <w:t>3</w:t>
      </w:r>
      <w:r w:rsidRPr="007F7B4B">
        <w:rPr>
          <w:szCs w:val="22"/>
        </w:rPr>
        <w:t xml:space="preserve"> will be used as the basis from which to calculate the fee payment.  In instances where a permit or license is transferred or assigned after October 1, 201</w:t>
      </w:r>
      <w:r>
        <w:rPr>
          <w:szCs w:val="22"/>
        </w:rPr>
        <w:t>3</w:t>
      </w:r>
      <w:r w:rsidRPr="007F7B4B">
        <w:rPr>
          <w:szCs w:val="22"/>
        </w:rPr>
        <w:t xml:space="preserve">, responsibility for payment rests with the holder of the permit or license as of the fee due date.  </w:t>
      </w:r>
    </w:p>
    <w:p w:rsidR="00264877" w:rsidRPr="007F7B4B" w:rsidRDefault="00264877" w:rsidP="00264877">
      <w:pPr>
        <w:ind w:left="450"/>
        <w:jc w:val="both"/>
        <w:rPr>
          <w:szCs w:val="22"/>
        </w:rPr>
      </w:pPr>
    </w:p>
    <w:p w:rsidR="00264877" w:rsidRPr="007F7B4B" w:rsidRDefault="00264877" w:rsidP="00D07E62">
      <w:pPr>
        <w:widowControl/>
        <w:numPr>
          <w:ilvl w:val="0"/>
          <w:numId w:val="6"/>
        </w:numPr>
        <w:ind w:left="806"/>
        <w:rPr>
          <w:szCs w:val="22"/>
        </w:rPr>
      </w:pPr>
      <w:r w:rsidRPr="007F7B4B">
        <w:rPr>
          <w:szCs w:val="22"/>
        </w:rPr>
        <w:t>The first eleven regulatory fee categories in our Schedule of Regulatory Fees (</w:t>
      </w:r>
      <w:r w:rsidRPr="007F7B4B">
        <w:rPr>
          <w:i/>
          <w:szCs w:val="22"/>
        </w:rPr>
        <w:t>see</w:t>
      </w:r>
      <w:r w:rsidRPr="007F7B4B">
        <w:rPr>
          <w:szCs w:val="22"/>
        </w:rPr>
        <w:t xml:space="preserve"> </w:t>
      </w:r>
      <w:r w:rsidR="0090094D">
        <w:rPr>
          <w:szCs w:val="22"/>
        </w:rPr>
        <w:t xml:space="preserve">Appendix </w:t>
      </w:r>
      <w:r w:rsidRPr="0067780B">
        <w:rPr>
          <w:szCs w:val="22"/>
        </w:rPr>
        <w:t>C)</w:t>
      </w:r>
      <w:r w:rsidRPr="007F7B4B">
        <w:rPr>
          <w:szCs w:val="22"/>
        </w:rPr>
        <w:t xml:space="preserve"> pay “small multi-year wireless regulatory fees.”  Entities pay these regulatory fees in advance for the entire amount </w:t>
      </w:r>
      <w:r>
        <w:rPr>
          <w:szCs w:val="22"/>
        </w:rPr>
        <w:t>period covered by</w:t>
      </w:r>
      <w:r w:rsidRPr="007F7B4B">
        <w:rPr>
          <w:szCs w:val="22"/>
        </w:rPr>
        <w:t xml:space="preserve"> the five-year or ten-year term</w:t>
      </w:r>
      <w:r>
        <w:rPr>
          <w:szCs w:val="22"/>
        </w:rPr>
        <w:t>s</w:t>
      </w:r>
      <w:r w:rsidRPr="007F7B4B">
        <w:rPr>
          <w:szCs w:val="22"/>
        </w:rPr>
        <w:t xml:space="preserve"> of</w:t>
      </w:r>
      <w:r>
        <w:rPr>
          <w:szCs w:val="22"/>
        </w:rPr>
        <w:t xml:space="preserve"> their</w:t>
      </w:r>
      <w:r w:rsidRPr="007F7B4B">
        <w:rPr>
          <w:szCs w:val="22"/>
        </w:rPr>
        <w:t xml:space="preserve"> initial license</w:t>
      </w:r>
      <w:r>
        <w:rPr>
          <w:szCs w:val="22"/>
        </w:rPr>
        <w:t>s</w:t>
      </w:r>
      <w:r w:rsidRPr="007F7B4B">
        <w:rPr>
          <w:szCs w:val="22"/>
        </w:rPr>
        <w:t xml:space="preserve">, and pay regulatory fees again </w:t>
      </w:r>
      <w:r>
        <w:rPr>
          <w:szCs w:val="22"/>
        </w:rPr>
        <w:t xml:space="preserve">only </w:t>
      </w:r>
      <w:r w:rsidRPr="007F7B4B">
        <w:rPr>
          <w:szCs w:val="22"/>
        </w:rPr>
        <w:t xml:space="preserve">when the license is renewed or a new license is obtained.  We include these fee categories in our </w:t>
      </w:r>
      <w:r w:rsidR="002B6493">
        <w:rPr>
          <w:szCs w:val="22"/>
        </w:rPr>
        <w:t>rulemaking (</w:t>
      </w:r>
      <w:r w:rsidR="00A7675D" w:rsidRPr="00A7675D">
        <w:rPr>
          <w:i/>
          <w:szCs w:val="22"/>
        </w:rPr>
        <w:t>s</w:t>
      </w:r>
      <w:r w:rsidR="002B6493" w:rsidRPr="0067780B">
        <w:rPr>
          <w:i/>
          <w:szCs w:val="22"/>
        </w:rPr>
        <w:t>ee</w:t>
      </w:r>
      <w:r w:rsidR="0090094D">
        <w:rPr>
          <w:szCs w:val="22"/>
        </w:rPr>
        <w:t xml:space="preserve"> Appendix</w:t>
      </w:r>
      <w:r w:rsidR="002B6493">
        <w:rPr>
          <w:szCs w:val="22"/>
        </w:rPr>
        <w:t xml:space="preserve"> B) </w:t>
      </w:r>
      <w:r w:rsidRPr="007F7B4B">
        <w:rPr>
          <w:szCs w:val="22"/>
        </w:rPr>
        <w:t>to publicize our estimates of the number of “small multi-year wireless” licenses that will be renewed or newly obtained in FY 201</w:t>
      </w:r>
      <w:r>
        <w:rPr>
          <w:szCs w:val="22"/>
        </w:rPr>
        <w:t>4</w:t>
      </w:r>
      <w:r w:rsidRPr="007F7B4B">
        <w:rPr>
          <w:szCs w:val="22"/>
        </w:rPr>
        <w:t xml:space="preserve">. </w:t>
      </w:r>
    </w:p>
    <w:p w:rsidR="00264877" w:rsidRPr="007F7B4B" w:rsidRDefault="00264877" w:rsidP="00264877">
      <w:pPr>
        <w:ind w:left="450"/>
        <w:jc w:val="both"/>
        <w:rPr>
          <w:szCs w:val="22"/>
        </w:rPr>
      </w:pPr>
    </w:p>
    <w:p w:rsidR="00264877" w:rsidRPr="007F7B4B" w:rsidRDefault="00264877" w:rsidP="00264877">
      <w:pPr>
        <w:numPr>
          <w:ilvl w:val="0"/>
          <w:numId w:val="6"/>
        </w:numPr>
        <w:rPr>
          <w:szCs w:val="22"/>
        </w:rPr>
      </w:pPr>
      <w:r w:rsidRPr="007F7B4B">
        <w:rPr>
          <w:i/>
          <w:szCs w:val="22"/>
        </w:rPr>
        <w:t>Multichannel Video Programming Distributor Services (cable television operators and CARS licensees)</w:t>
      </w:r>
      <w:r w:rsidRPr="007F7B4B">
        <w:rPr>
          <w:szCs w:val="22"/>
        </w:rPr>
        <w:t>:  Regulatory fees must be paid for the number of basic cable television subscribers as of December 31, 201</w:t>
      </w:r>
      <w:r>
        <w:rPr>
          <w:szCs w:val="22"/>
        </w:rPr>
        <w:t>3</w:t>
      </w:r>
      <w:r w:rsidRPr="007F7B4B">
        <w:rPr>
          <w:szCs w:val="22"/>
        </w:rPr>
        <w:t>.</w:t>
      </w:r>
      <w:r w:rsidRPr="007F7B4B">
        <w:rPr>
          <w:szCs w:val="22"/>
          <w:vertAlign w:val="superscript"/>
        </w:rPr>
        <w:footnoteReference w:id="143"/>
      </w:r>
      <w:r w:rsidRPr="007F7B4B">
        <w:rPr>
          <w:szCs w:val="22"/>
        </w:rPr>
        <w:t xml:space="preserve">  Regulatory fees also must be paid for CARS licenses that were granted on or before October 1, 201</w:t>
      </w:r>
      <w:r>
        <w:rPr>
          <w:szCs w:val="22"/>
        </w:rPr>
        <w:t>3</w:t>
      </w:r>
      <w:r w:rsidRPr="007F7B4B">
        <w:rPr>
          <w:szCs w:val="22"/>
        </w:rPr>
        <w:t>.  In instances where a permit or license is transferred or assigned after October 1, 201</w:t>
      </w:r>
      <w:r>
        <w:rPr>
          <w:szCs w:val="22"/>
        </w:rPr>
        <w:t>3</w:t>
      </w:r>
      <w:r w:rsidRPr="007F7B4B">
        <w:rPr>
          <w:szCs w:val="22"/>
        </w:rPr>
        <w:t xml:space="preserve">, responsibility for payment rests with the holder of the permit or license as of the fee due date.  </w:t>
      </w:r>
    </w:p>
    <w:p w:rsidR="00264877" w:rsidRPr="007F7B4B" w:rsidRDefault="00264877" w:rsidP="00264877">
      <w:pPr>
        <w:tabs>
          <w:tab w:val="left" w:pos="2160"/>
        </w:tabs>
        <w:jc w:val="both"/>
        <w:rPr>
          <w:szCs w:val="22"/>
        </w:rPr>
      </w:pPr>
    </w:p>
    <w:p w:rsidR="00264877" w:rsidRPr="007F7B4B" w:rsidRDefault="00264877" w:rsidP="00264877">
      <w:pPr>
        <w:pStyle w:val="ParaNum"/>
        <w:numPr>
          <w:ilvl w:val="0"/>
          <w:numId w:val="6"/>
        </w:numPr>
        <w:rPr>
          <w:szCs w:val="22"/>
        </w:rPr>
      </w:pPr>
      <w:r w:rsidRPr="007F7B4B">
        <w:rPr>
          <w:i/>
          <w:szCs w:val="22"/>
        </w:rPr>
        <w:t>International Services:</w:t>
      </w:r>
      <w:r w:rsidRPr="007F7B4B">
        <w:rPr>
          <w:szCs w:val="22"/>
        </w:rPr>
        <w:t xml:space="preserve">  Regulatory fees must be paid for </w:t>
      </w:r>
      <w:r>
        <w:rPr>
          <w:szCs w:val="22"/>
        </w:rPr>
        <w:t xml:space="preserve">(1) </w:t>
      </w:r>
      <w:r w:rsidRPr="007F7B4B">
        <w:rPr>
          <w:szCs w:val="22"/>
        </w:rPr>
        <w:t xml:space="preserve">earth stations </w:t>
      </w:r>
      <w:r>
        <w:rPr>
          <w:szCs w:val="22"/>
        </w:rPr>
        <w:t xml:space="preserve">and (2) </w:t>
      </w:r>
      <w:r w:rsidRPr="007F7B4B">
        <w:rPr>
          <w:szCs w:val="22"/>
        </w:rPr>
        <w:t>geostationary orbit space stations and non-geostationary orbit satellite systems that were licensed and operational on or before October 1, 201</w:t>
      </w:r>
      <w:r>
        <w:rPr>
          <w:szCs w:val="22"/>
        </w:rPr>
        <w:t>3</w:t>
      </w:r>
      <w:r w:rsidRPr="007F7B4B">
        <w:rPr>
          <w:szCs w:val="22"/>
        </w:rPr>
        <w:t>.  In instances where a permit or license is transferred or assigned after October 1, 201</w:t>
      </w:r>
      <w:r>
        <w:rPr>
          <w:szCs w:val="22"/>
        </w:rPr>
        <w:t>3</w:t>
      </w:r>
      <w:r w:rsidRPr="007F7B4B">
        <w:rPr>
          <w:szCs w:val="22"/>
        </w:rPr>
        <w:t>, responsibility for payment rests with the holder of the permit or license as of the fee due date.</w:t>
      </w:r>
    </w:p>
    <w:p w:rsidR="00264877" w:rsidRPr="007F7B4B" w:rsidRDefault="00264877" w:rsidP="00264877">
      <w:pPr>
        <w:pStyle w:val="ParaNum"/>
        <w:numPr>
          <w:ilvl w:val="0"/>
          <w:numId w:val="6"/>
        </w:numPr>
        <w:rPr>
          <w:szCs w:val="22"/>
        </w:rPr>
      </w:pPr>
      <w:r w:rsidRPr="007F7B4B">
        <w:rPr>
          <w:i/>
          <w:szCs w:val="22"/>
        </w:rPr>
        <w:t xml:space="preserve">International Services: Submarine Cable Systems:  </w:t>
      </w:r>
      <w:r w:rsidRPr="007F7B4B">
        <w:rPr>
          <w:szCs w:val="22"/>
        </w:rPr>
        <w:t>Regulatory fees for submarine cable systems are to be paid on a per cable landing license basis based on circuit capacity as of December 31, 201</w:t>
      </w:r>
      <w:r>
        <w:rPr>
          <w:szCs w:val="22"/>
        </w:rPr>
        <w:t>3</w:t>
      </w:r>
      <w:r w:rsidRPr="007F7B4B">
        <w:rPr>
          <w:szCs w:val="22"/>
        </w:rPr>
        <w:t>.  In instances where a license is transferred o</w:t>
      </w:r>
      <w:r>
        <w:rPr>
          <w:szCs w:val="22"/>
        </w:rPr>
        <w:t>r assigned after October 1, 2013</w:t>
      </w:r>
      <w:r w:rsidRPr="007F7B4B">
        <w:rPr>
          <w:szCs w:val="22"/>
        </w:rPr>
        <w:t>, responsibility for payment rests with the holder of the license as of the fee due date.  For regulatory fee purposes, the allocation in FY 201</w:t>
      </w:r>
      <w:r>
        <w:rPr>
          <w:szCs w:val="22"/>
        </w:rPr>
        <w:t>4</w:t>
      </w:r>
      <w:r w:rsidRPr="007F7B4B">
        <w:rPr>
          <w:szCs w:val="22"/>
        </w:rPr>
        <w:t xml:space="preserve"> will remain at 87.6 percent for submarine cable and 12.4 percent for satellite/terrestrial facilities. </w:t>
      </w:r>
    </w:p>
    <w:p w:rsidR="00264877" w:rsidRPr="007F7B4B" w:rsidRDefault="00264877" w:rsidP="00264877">
      <w:pPr>
        <w:pStyle w:val="ParaNum"/>
        <w:numPr>
          <w:ilvl w:val="0"/>
          <w:numId w:val="6"/>
        </w:numPr>
        <w:rPr>
          <w:szCs w:val="22"/>
        </w:rPr>
      </w:pPr>
      <w:r w:rsidRPr="007F7B4B">
        <w:rPr>
          <w:i/>
          <w:szCs w:val="22"/>
        </w:rPr>
        <w:t>International Services: Terrestrial and Satellite Services</w:t>
      </w:r>
      <w:r w:rsidRPr="007F7B4B">
        <w:rPr>
          <w:szCs w:val="22"/>
        </w:rPr>
        <w:t xml:space="preserve">:  </w:t>
      </w:r>
      <w:r>
        <w:rPr>
          <w:szCs w:val="22"/>
        </w:rPr>
        <w:t>R</w:t>
      </w:r>
      <w:r w:rsidRPr="007F7B4B">
        <w:rPr>
          <w:szCs w:val="22"/>
        </w:rPr>
        <w:t>egulatory fees for International Bearer Circuits are to be paid by facilities-based common carriers that have active (used or leased) international bearer circuits as of December 31, 201</w:t>
      </w:r>
      <w:r>
        <w:rPr>
          <w:szCs w:val="22"/>
        </w:rPr>
        <w:t>3</w:t>
      </w:r>
      <w:r w:rsidRPr="007F7B4B">
        <w:rPr>
          <w:szCs w:val="22"/>
        </w:rPr>
        <w:t xml:space="preserve"> in any terrestrial or satellite transmission facility for the provision of service to an end user or resale carrier</w:t>
      </w:r>
      <w:r>
        <w:rPr>
          <w:szCs w:val="22"/>
        </w:rPr>
        <w:t>.  When calculating the number of such</w:t>
      </w:r>
      <w:r w:rsidRPr="007F7B4B">
        <w:rPr>
          <w:szCs w:val="22"/>
        </w:rPr>
        <w:t xml:space="preserve"> active circuits</w:t>
      </w:r>
      <w:r>
        <w:rPr>
          <w:szCs w:val="22"/>
        </w:rPr>
        <w:t>, the facilities-based common carriers must include circuits held by</w:t>
      </w:r>
      <w:r w:rsidRPr="007F7B4B">
        <w:rPr>
          <w:szCs w:val="22"/>
        </w:rPr>
        <w:t xml:space="preserve"> themselves or their affiliates.  In addition, non-common carrier satellite operators must pay a fee for each circuit</w:t>
      </w:r>
      <w:r>
        <w:rPr>
          <w:szCs w:val="22"/>
        </w:rPr>
        <w:t xml:space="preserve"> they and their affiliates hold and each circuit</w:t>
      </w:r>
      <w:r w:rsidRPr="007F7B4B">
        <w:rPr>
          <w:szCs w:val="22"/>
        </w:rPr>
        <w:t xml:space="preserve"> sold or leased to any customer, other than an international common carrier authorized by the Commission to provide U.S. international common carrier services.  “Active circuits” for these purposes include backup and redundant circuits as of December 31, 201</w:t>
      </w:r>
      <w:r>
        <w:rPr>
          <w:szCs w:val="22"/>
        </w:rPr>
        <w:t>3</w:t>
      </w:r>
      <w:r w:rsidRPr="007F7B4B">
        <w:rPr>
          <w:szCs w:val="22"/>
        </w:rPr>
        <w:t>.  Whether circuits are used specifically for voice or data is not relevant for purposes of determining that they are active circuits.  In instances where a permit or license is transferred or assigned after October 1, 201</w:t>
      </w:r>
      <w:r>
        <w:rPr>
          <w:szCs w:val="22"/>
        </w:rPr>
        <w:t>3</w:t>
      </w:r>
      <w:r w:rsidRPr="007F7B4B">
        <w:rPr>
          <w:szCs w:val="22"/>
        </w:rPr>
        <w:t>, responsibility for payment rests with the holder of the permit or license as of the fee due date.  For regulatory fee purposes, the allocation in FY 201</w:t>
      </w:r>
      <w:r>
        <w:rPr>
          <w:szCs w:val="22"/>
        </w:rPr>
        <w:t>4</w:t>
      </w:r>
      <w:r w:rsidRPr="007F7B4B">
        <w:rPr>
          <w:szCs w:val="22"/>
        </w:rPr>
        <w:t xml:space="preserve"> will remain at 87.6 percent for submarine cable and 12.4 percent for satellite/terrestrial facilities.  </w:t>
      </w:r>
    </w:p>
    <w:p w:rsidR="00264877" w:rsidRPr="007F7B4B" w:rsidRDefault="00264877" w:rsidP="00264877">
      <w:pPr>
        <w:pStyle w:val="Heading2"/>
      </w:pPr>
      <w:bookmarkStart w:id="211" w:name="_Toc285458175"/>
      <w:bookmarkStart w:id="212" w:name="_Toc289263538"/>
      <w:bookmarkStart w:id="213" w:name="_Toc292177326"/>
      <w:bookmarkStart w:id="214" w:name="_Toc296691766"/>
      <w:bookmarkStart w:id="215" w:name="_Toc297116986"/>
      <w:bookmarkStart w:id="216" w:name="_Toc298752214"/>
      <w:bookmarkStart w:id="217" w:name="_Toc299091579"/>
      <w:bookmarkStart w:id="218" w:name="_Toc319681891"/>
      <w:bookmarkStart w:id="219" w:name="_Toc320103198"/>
      <w:bookmarkStart w:id="220" w:name="_Toc320615948"/>
      <w:bookmarkStart w:id="221" w:name="_Toc320616366"/>
      <w:bookmarkStart w:id="222" w:name="_Toc320616505"/>
      <w:bookmarkStart w:id="223" w:name="_Toc320632326"/>
      <w:bookmarkStart w:id="224" w:name="_Toc320632359"/>
      <w:bookmarkStart w:id="225" w:name="_Toc320639466"/>
      <w:bookmarkStart w:id="226" w:name="_Toc321130265"/>
      <w:bookmarkStart w:id="227" w:name="_Toc321301167"/>
      <w:bookmarkStart w:id="228" w:name="_Toc327344923"/>
      <w:bookmarkStart w:id="229" w:name="_Toc327454763"/>
      <w:bookmarkStart w:id="230" w:name="_Toc328052406"/>
      <w:bookmarkStart w:id="231" w:name="_Toc330473857"/>
      <w:bookmarkStart w:id="232" w:name="_Toc390878811"/>
      <w:bookmarkStart w:id="233" w:name="_Toc391364441"/>
      <w:bookmarkStart w:id="234" w:name="_Toc394672321"/>
      <w:bookmarkStart w:id="235" w:name="_Toc397078337"/>
      <w:r w:rsidRPr="007F7B4B">
        <w:t>Enforcement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264877" w:rsidRPr="007F7B4B" w:rsidRDefault="00264877" w:rsidP="00F15C95">
      <w:pPr>
        <w:pStyle w:val="ParaNum"/>
      </w:pPr>
      <w:r w:rsidRPr="007F7B4B">
        <w:t xml:space="preserve">To be considered timely, regulatory fee payments must be received and stamped at the lockbox bank by the </w:t>
      </w:r>
      <w:r>
        <w:t xml:space="preserve">payment </w:t>
      </w:r>
      <w:r w:rsidRPr="007F7B4B">
        <w:t xml:space="preserve">due date </w:t>
      </w:r>
      <w:r>
        <w:t xml:space="preserve">for </w:t>
      </w:r>
      <w:r w:rsidRPr="007F7B4B">
        <w:t>regulatory fees.  Section 9(c) of the Act requires us to impose a late payment penalty of 25 percent of the unpaid amount to be assessed on the first day following the deadline for filing these fees.</w:t>
      </w:r>
      <w:r w:rsidRPr="007F7B4B">
        <w:rPr>
          <w:rStyle w:val="FootnoteReference"/>
          <w:szCs w:val="22"/>
        </w:rPr>
        <w:footnoteReference w:id="144"/>
      </w:r>
      <w:r w:rsidRPr="007F7B4B">
        <w:t xml:space="preserve">  Failure to pay regulatory fees and/or any late penalty will subject regulatees to sanctions, including those set forth in section 1.1910 of the Commission’s </w:t>
      </w:r>
      <w:r>
        <w:t>r</w:t>
      </w:r>
      <w:r w:rsidRPr="007F7B4B">
        <w:t>u</w:t>
      </w:r>
      <w:r w:rsidRPr="00FE2F75">
        <w:t>les</w:t>
      </w:r>
      <w:r w:rsidR="00F6124E" w:rsidRPr="00FE2F75">
        <w:t>,</w:t>
      </w:r>
      <w:r w:rsidRPr="00FE2F75">
        <w:rPr>
          <w:rStyle w:val="FootnoteReference"/>
          <w:szCs w:val="22"/>
        </w:rPr>
        <w:footnoteReference w:id="145"/>
      </w:r>
      <w:r w:rsidR="003D2C33">
        <w:t xml:space="preserve"> </w:t>
      </w:r>
      <w:r w:rsidR="00F6124E" w:rsidRPr="00FE2F75">
        <w:t xml:space="preserve">which generally requires the Commission to withhold action on </w:t>
      </w:r>
      <w:r w:rsidR="003D2C33">
        <w:t>“</w:t>
      </w:r>
      <w:r w:rsidR="00F6124E" w:rsidRPr="00FE2F75">
        <w:t>applications, including on a petition for reconsideration or any application for review of a fee determination, or requests for authorization by any entity found to be delinquent in its debt to the Commission</w:t>
      </w:r>
      <w:r w:rsidR="003D2C33">
        <w:t>”</w:t>
      </w:r>
      <w:r w:rsidRPr="00FE2F75">
        <w:t xml:space="preserve"> and in the Debt Collection Improvement Act of 1996 (DCIA).</w:t>
      </w:r>
      <w:r w:rsidRPr="00FE2F75">
        <w:rPr>
          <w:rStyle w:val="FootnoteReference"/>
          <w:szCs w:val="22"/>
        </w:rPr>
        <w:footnoteReference w:id="146"/>
      </w:r>
      <w:r w:rsidRPr="00FE2F75">
        <w:t xml:space="preserve">  We also assess administrative processing charges on delinquent debts to recover additional costs incurred in processing and handling the debt pursuant to</w:t>
      </w:r>
      <w:r w:rsidRPr="007F7B4B">
        <w:t xml:space="preserve"> the DCIA and section 1.1940(d) </w:t>
      </w:r>
      <w:r w:rsidRPr="007F7B4B">
        <w:lastRenderedPageBreak/>
        <w:t xml:space="preserve">of the Commission’s </w:t>
      </w:r>
      <w:r>
        <w:t>r</w:t>
      </w:r>
      <w:r w:rsidRPr="007F7B4B">
        <w:t>ules.</w:t>
      </w:r>
      <w:r w:rsidRPr="007F7B4B">
        <w:rPr>
          <w:rStyle w:val="FootnoteReference"/>
          <w:szCs w:val="22"/>
        </w:rPr>
        <w:footnoteReference w:id="147"/>
      </w:r>
      <w:r w:rsidRPr="007F7B4B">
        <w:t xml:space="preserve">  These administrative processing charges will be assessed on any delinquent regulatory fee, in addition to the 25 percent late charge penalty.  In </w:t>
      </w:r>
      <w:r>
        <w:t xml:space="preserve">the </w:t>
      </w:r>
      <w:r w:rsidRPr="007F7B4B">
        <w:t>case of partial payments (underpayments) of regulatory fees, the payor will be given credit for the amount paid, but if it is later determined that the fee paid is incorrect or not timely paid, then the 25 percent late charge penalty (and other charges and/or sanctions, as appropriate) will be assessed on the portion that is not paid in a timely manner.</w:t>
      </w:r>
    </w:p>
    <w:p w:rsidR="00264877" w:rsidRDefault="00264877" w:rsidP="00F15C95">
      <w:pPr>
        <w:pStyle w:val="ParaNum"/>
      </w:pPr>
      <w:r>
        <w:t>Pursuant to the “red</w:t>
      </w:r>
      <w:r w:rsidR="00A427D0">
        <w:t xml:space="preserve"> </w:t>
      </w:r>
      <w:r>
        <w:t>light rule,” w</w:t>
      </w:r>
      <w:r w:rsidRPr="007F7B4B">
        <w:t>e will withhold action on any applications or other requests for benefits filed by anyone who is delinquent in any non-tax debts owed to the Commission (including regulatory fees) and will ultimately dismiss those applications or other requests if payment of the delinquent debt or other satisfactory arrangement for payment is not made.</w:t>
      </w:r>
      <w:r w:rsidRPr="007F7B4B">
        <w:rPr>
          <w:rStyle w:val="FootnoteReference"/>
          <w:szCs w:val="22"/>
        </w:rPr>
        <w:footnoteReference w:id="148"/>
      </w:r>
      <w:r w:rsidRPr="007F7B4B">
        <w:t xml:space="preserve">  Failure to pay regulatory fees can also result in the initiation of a proceeding to revoke any and all authorizations held by the entity responsible for paying the delinquent fee(s).</w:t>
      </w:r>
      <w:r>
        <w:rPr>
          <w:rStyle w:val="FootnoteReference"/>
          <w:szCs w:val="22"/>
        </w:rPr>
        <w:footnoteReference w:id="149"/>
      </w:r>
    </w:p>
    <w:p w:rsidR="00264877" w:rsidRDefault="00264877" w:rsidP="00264877">
      <w:pPr>
        <w:pStyle w:val="Heading2"/>
      </w:pPr>
      <w:bookmarkStart w:id="236" w:name="_Toc391364442"/>
      <w:bookmarkStart w:id="237" w:name="_Toc394672322"/>
      <w:bookmarkStart w:id="238" w:name="_Toc397078338"/>
      <w:r>
        <w:t>Effective Date</w:t>
      </w:r>
      <w:bookmarkEnd w:id="236"/>
      <w:bookmarkEnd w:id="237"/>
      <w:bookmarkEnd w:id="238"/>
    </w:p>
    <w:p w:rsidR="00264877" w:rsidRPr="007F7B4B" w:rsidRDefault="00264877" w:rsidP="00F15C95">
      <w:pPr>
        <w:pStyle w:val="ParaNum"/>
      </w:pPr>
      <w:r>
        <w:t xml:space="preserve">Providing a 30 day period after Federal Register publication before this Report and Order becomes effective as required by 5 U.S.C. § 553(d) will not allow sufficient time for the Commission to collect the FY 2014 fees before FY 2014 ends on September 30, 2014.  For this reason, pursuant to 5 U.S.C. § 553(d)(3), the Commission finds there is good cause to waive the requirements of </w:t>
      </w:r>
      <w:r w:rsidR="0067780B">
        <w:t>s</w:t>
      </w:r>
      <w:r>
        <w:t>ection 553(d), and this Report and Order will become effective upon publication in the Federal Register.  Because payments of the regulatory fees will not actually be due until the middle of September, persons affected by this Report and Order will still have a reasonable period in which to make their payments and thereby comply with the rules established herein.</w:t>
      </w:r>
    </w:p>
    <w:p w:rsidR="00264877" w:rsidRPr="007F7B4B" w:rsidRDefault="00264877" w:rsidP="00264877">
      <w:pPr>
        <w:pStyle w:val="Heading2"/>
      </w:pPr>
      <w:bookmarkStart w:id="239" w:name="_Toc390878812"/>
      <w:bookmarkStart w:id="240" w:name="_Toc394672323"/>
      <w:bookmarkStart w:id="241" w:name="_Toc397078339"/>
      <w:r w:rsidRPr="007F7B4B">
        <w:t>Final Regulatory Flexibility Analysis</w:t>
      </w:r>
      <w:bookmarkEnd w:id="239"/>
      <w:bookmarkEnd w:id="240"/>
      <w:bookmarkEnd w:id="241"/>
    </w:p>
    <w:p w:rsidR="00264877" w:rsidRDefault="00264877" w:rsidP="00F15C95">
      <w:pPr>
        <w:pStyle w:val="ParaNum"/>
        <w:rPr>
          <w:szCs w:val="22"/>
        </w:rPr>
      </w:pPr>
      <w:r>
        <w:t>As required by the Regulatory Flexibility Act of 1980 (RFA),</w:t>
      </w:r>
      <w:r>
        <w:rPr>
          <w:rStyle w:val="FootnoteReference"/>
        </w:rPr>
        <w:footnoteReference w:id="150"/>
      </w:r>
      <w:r>
        <w:t xml:space="preserve"> the Commission has prepared a Final Regulatory Flexibility Analysis (FRFA) relating to this Report and Order.  The </w:t>
      </w:r>
      <w:r w:rsidRPr="007F7B4B">
        <w:rPr>
          <w:szCs w:val="22"/>
        </w:rPr>
        <w:t xml:space="preserve">FRFA is contained in </w:t>
      </w:r>
      <w:r w:rsidR="0090094D">
        <w:rPr>
          <w:szCs w:val="22"/>
        </w:rPr>
        <w:t xml:space="preserve">Appendix </w:t>
      </w:r>
      <w:r w:rsidR="00A574DE">
        <w:rPr>
          <w:szCs w:val="22"/>
        </w:rPr>
        <w:t>F.</w:t>
      </w:r>
      <w:r w:rsidRPr="007F7B4B">
        <w:rPr>
          <w:szCs w:val="22"/>
        </w:rPr>
        <w:t xml:space="preserve"> </w:t>
      </w:r>
    </w:p>
    <w:p w:rsidR="00CF6C48" w:rsidRPr="00E72DD1" w:rsidRDefault="00CF6C48" w:rsidP="00CF6C48">
      <w:pPr>
        <w:pStyle w:val="Heading2"/>
      </w:pPr>
      <w:bookmarkStart w:id="242" w:name="_Toc382567933"/>
      <w:bookmarkStart w:id="243" w:name="_Toc384227069"/>
      <w:bookmarkStart w:id="244" w:name="_Toc397078340"/>
      <w:r w:rsidRPr="00E72DD1">
        <w:t>Initial Regulatory Flexibility Analysis</w:t>
      </w:r>
      <w:bookmarkEnd w:id="242"/>
      <w:bookmarkEnd w:id="243"/>
      <w:bookmarkEnd w:id="244"/>
    </w:p>
    <w:p w:rsidR="00CF6C48" w:rsidRPr="00A438CD" w:rsidRDefault="00CF6C48" w:rsidP="00F15C95">
      <w:pPr>
        <w:pStyle w:val="ParaNum"/>
      </w:pPr>
      <w:r w:rsidRPr="00A438CD">
        <w:t>An initial regulatory flexibility analysis (</w:t>
      </w:r>
      <w:r w:rsidR="0090094D">
        <w:t>IRFA) is contained in Appendix</w:t>
      </w:r>
      <w:r w:rsidRPr="00A438CD">
        <w:t xml:space="preserve"> </w:t>
      </w:r>
      <w:r>
        <w:t>G</w:t>
      </w:r>
      <w:r w:rsidRPr="00A438CD">
        <w:t xml:space="preserve">. </w:t>
      </w:r>
      <w:r>
        <w:t xml:space="preserve"> </w:t>
      </w:r>
      <w:r w:rsidRPr="00A438CD">
        <w:t xml:space="preserve">Comments to the IRFA must be identified as responses to the IRFA and filed by the deadlines for comments on the </w:t>
      </w:r>
      <w:r w:rsidR="00543BE9">
        <w:t xml:space="preserve">Further </w:t>
      </w:r>
      <w:r>
        <w:t>Notice</w:t>
      </w:r>
      <w:r w:rsidR="00543BE9">
        <w:t xml:space="preserve"> of Proposed Rulemaking</w:t>
      </w:r>
      <w:r w:rsidRPr="00A438CD">
        <w:t xml:space="preserve">.  The Commission will send a copy of the </w:t>
      </w:r>
      <w:r w:rsidR="00543BE9">
        <w:t xml:space="preserve">Further </w:t>
      </w:r>
      <w:r>
        <w:t>Notice</w:t>
      </w:r>
      <w:r w:rsidR="00543BE9">
        <w:t xml:space="preserve"> of Proposed Rulemaking</w:t>
      </w:r>
      <w:r w:rsidRPr="00A438CD">
        <w:t>, including the IRFA, to the Chief Counsel for Advocacy of the Small Business Administration.</w:t>
      </w:r>
    </w:p>
    <w:p w:rsidR="00CF6C48" w:rsidRPr="00E72DD1" w:rsidRDefault="00CF6C48" w:rsidP="00CF6C48">
      <w:pPr>
        <w:pStyle w:val="Heading2"/>
      </w:pPr>
      <w:bookmarkStart w:id="245" w:name="_Toc382567934"/>
      <w:bookmarkStart w:id="246" w:name="_Toc384227070"/>
      <w:bookmarkStart w:id="247" w:name="_Toc397078341"/>
      <w:r w:rsidRPr="00E72DD1">
        <w:t>Initial Paperwork Reduction Act of 1995 Analysis</w:t>
      </w:r>
      <w:bookmarkEnd w:id="245"/>
      <w:bookmarkEnd w:id="246"/>
      <w:bookmarkEnd w:id="247"/>
    </w:p>
    <w:p w:rsidR="00CF6C48" w:rsidRPr="00CF6C48" w:rsidRDefault="00CF6C48" w:rsidP="001063AA">
      <w:pPr>
        <w:pStyle w:val="ParaNum"/>
        <w:widowControl/>
      </w:pPr>
      <w:r w:rsidRPr="00CF6C48">
        <w:t xml:space="preserve">This document solicits possible proposed information collection requirements.  The Commission, as part of its continuing effort to reduce paperwork burdens, invites the general public and the Office of Management and Budget (OMB) to comment on the possible proposed information collection requirements contained in this document, as required by the Paperwork Reduction Act of 1995, Public Law 104-13.  In addition, pursuant to the Small Business Paperwork Relief Act of 2002, Public </w:t>
      </w:r>
      <w:r w:rsidRPr="00CF6C48">
        <w:lastRenderedPageBreak/>
        <w:t xml:space="preserve">Law 107-198, </w:t>
      </w:r>
      <w:r w:rsidRPr="00CF6C48">
        <w:rPr>
          <w:i/>
        </w:rPr>
        <w:t>see</w:t>
      </w:r>
      <w:r w:rsidRPr="00CF6C48">
        <w:t xml:space="preserve"> 44 U.S.C. 3506(c)(4), we seek specific comment on how we might further reduce the information collection burden for small business concerns with fewer than 25 employees.</w:t>
      </w:r>
    </w:p>
    <w:p w:rsidR="00264877" w:rsidRPr="00B16900" w:rsidRDefault="00264877" w:rsidP="00264877">
      <w:pPr>
        <w:pStyle w:val="Heading2"/>
        <w:rPr>
          <w:b w:val="0"/>
          <w:color w:val="000000"/>
        </w:rPr>
      </w:pPr>
      <w:bookmarkStart w:id="248" w:name="_Toc390878814"/>
      <w:bookmarkStart w:id="249" w:name="_Toc394672325"/>
      <w:bookmarkStart w:id="250" w:name="_Toc397078342"/>
      <w:r>
        <w:rPr>
          <w:bCs/>
        </w:rPr>
        <w:t>Congressional Review Act.</w:t>
      </w:r>
      <w:bookmarkEnd w:id="248"/>
      <w:bookmarkEnd w:id="249"/>
      <w:bookmarkEnd w:id="250"/>
    </w:p>
    <w:p w:rsidR="00264877" w:rsidRPr="00E34589" w:rsidRDefault="00264877" w:rsidP="00F15C95">
      <w:pPr>
        <w:pStyle w:val="ParaNum"/>
        <w:rPr>
          <w:szCs w:val="22"/>
        </w:rPr>
      </w:pPr>
      <w:r>
        <w:t xml:space="preserve">The Commission will send a copy of this Report </w:t>
      </w:r>
      <w:r w:rsidR="00CF6C48">
        <w:t>and</w:t>
      </w:r>
      <w:r>
        <w:t xml:space="preserve"> Order to Congress and the Government Accountability Office pursuant to the Congressional Review Act.  5 U.S.C. 801(a)(1)(A).  </w:t>
      </w:r>
    </w:p>
    <w:p w:rsidR="00264877" w:rsidRDefault="00264877" w:rsidP="00264877">
      <w:pPr>
        <w:pStyle w:val="Heading2"/>
        <w:rPr>
          <w:szCs w:val="22"/>
        </w:rPr>
      </w:pPr>
      <w:bookmarkStart w:id="251" w:name="_Toc351484776"/>
      <w:bookmarkStart w:id="252" w:name="_Toc351484822"/>
      <w:bookmarkStart w:id="253" w:name="_Toc351484964"/>
      <w:bookmarkStart w:id="254" w:name="_Toc351571073"/>
      <w:bookmarkStart w:id="255" w:name="_Toc353032063"/>
      <w:bookmarkStart w:id="256" w:name="_Toc351572437"/>
      <w:bookmarkStart w:id="257" w:name="_Toc352943196"/>
      <w:bookmarkStart w:id="258" w:name="_Toc352943645"/>
      <w:bookmarkStart w:id="259" w:name="_Toc353870713"/>
      <w:bookmarkStart w:id="260" w:name="_Toc353987740"/>
      <w:bookmarkStart w:id="261" w:name="_Toc353988061"/>
      <w:bookmarkStart w:id="262" w:name="_Toc382567935"/>
      <w:bookmarkStart w:id="263" w:name="_Toc384227071"/>
      <w:bookmarkStart w:id="264" w:name="_Toc394672326"/>
      <w:bookmarkStart w:id="265" w:name="_Toc397078343"/>
      <w:r w:rsidRPr="00E72DD1">
        <w:rPr>
          <w:szCs w:val="22"/>
        </w:rPr>
        <w:t>Filing Instructions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264877" w:rsidRPr="00A438CD" w:rsidRDefault="00264877" w:rsidP="00F15C95">
      <w:pPr>
        <w:pStyle w:val="ParaNum"/>
      </w:pPr>
      <w:r w:rsidRPr="00A438CD">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A438CD">
        <w:rPr>
          <w:i/>
        </w:rPr>
        <w:t>See</w:t>
      </w:r>
      <w:r w:rsidRPr="00A438CD">
        <w:t xml:space="preserve"> </w:t>
      </w:r>
      <w:r w:rsidRPr="00A438CD">
        <w:rPr>
          <w:i/>
        </w:rPr>
        <w:t>Electronic Filing of Documents in Rulemaking Proceedings</w:t>
      </w:r>
      <w:r w:rsidRPr="00A438CD">
        <w:t>, 63 FR 24121 (1998).</w:t>
      </w:r>
    </w:p>
    <w:p w:rsidR="00264877" w:rsidRPr="00A438CD" w:rsidRDefault="00264877" w:rsidP="00264877">
      <w:pPr>
        <w:pStyle w:val="ParaNum"/>
        <w:numPr>
          <w:ilvl w:val="0"/>
          <w:numId w:val="11"/>
        </w:numPr>
        <w:rPr>
          <w:szCs w:val="22"/>
        </w:rPr>
      </w:pPr>
      <w:r w:rsidRPr="00A438CD">
        <w:rPr>
          <w:szCs w:val="22"/>
        </w:rPr>
        <w:t>Electronic Filers:  Comments may be filed electronically using the I</w:t>
      </w:r>
      <w:r>
        <w:rPr>
          <w:szCs w:val="22"/>
        </w:rPr>
        <w:t>nternet by accessing the ECFS.</w:t>
      </w:r>
    </w:p>
    <w:p w:rsidR="00264877" w:rsidRPr="00A438CD" w:rsidRDefault="00264877" w:rsidP="00264877">
      <w:pPr>
        <w:pStyle w:val="ParaNum"/>
        <w:numPr>
          <w:ilvl w:val="0"/>
          <w:numId w:val="11"/>
        </w:numPr>
        <w:rPr>
          <w:szCs w:val="22"/>
        </w:rPr>
      </w:pPr>
      <w:r w:rsidRPr="00A438CD">
        <w:rPr>
          <w:szCs w:val="22"/>
        </w:rP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264877" w:rsidRPr="00A1103B" w:rsidRDefault="00264877" w:rsidP="00264877">
      <w:pPr>
        <w:pStyle w:val="ParaNum"/>
        <w:numPr>
          <w:ilvl w:val="1"/>
          <w:numId w:val="11"/>
        </w:numPr>
        <w:rPr>
          <w:szCs w:val="22"/>
        </w:rPr>
      </w:pPr>
      <w:r w:rsidRPr="00A438CD">
        <w:rPr>
          <w:szCs w:val="22"/>
        </w:rPr>
        <w:t>Filings can be sent by h</w:t>
      </w:r>
      <w:r w:rsidRPr="00A1103B">
        <w:rPr>
          <w:szCs w:val="22"/>
        </w:rPr>
        <w:t>and or messenger delivery, by commercial overnight courier, or by first-class or overnight U.S. Postal Service mail.  All filings must be addressed to the Commission’s Secretary, Office of the Secretary, Federal Communications Commission.</w:t>
      </w:r>
    </w:p>
    <w:p w:rsidR="00264877" w:rsidRPr="00A1103B" w:rsidRDefault="00264877" w:rsidP="00264877">
      <w:pPr>
        <w:pStyle w:val="ParaNum"/>
        <w:numPr>
          <w:ilvl w:val="1"/>
          <w:numId w:val="11"/>
        </w:numPr>
        <w:rPr>
          <w:szCs w:val="22"/>
        </w:rPr>
      </w:pPr>
      <w:r w:rsidRPr="00A1103B">
        <w:rPr>
          <w:szCs w:val="22"/>
        </w:rPr>
        <w:t xml:space="preserve">All hand-delivered or messenger-delivered paper filings for the Commission’s Secretary must be delivered to FCC Headquarters at 445 12th St., SW, Room TW-A325, Washington, DC 20554.  The filing hours are 8:00 a.m. to 7:00 p.m.  All hand deliveries must be held together with rubber bands or fasteners.  Any envelopes and boxes must be disposed of before entering the building.  </w:t>
      </w:r>
    </w:p>
    <w:p w:rsidR="00264877" w:rsidRPr="00A1103B" w:rsidRDefault="00264877" w:rsidP="00264877">
      <w:pPr>
        <w:pStyle w:val="ParaNum"/>
        <w:numPr>
          <w:ilvl w:val="1"/>
          <w:numId w:val="11"/>
        </w:numPr>
        <w:rPr>
          <w:szCs w:val="22"/>
        </w:rPr>
      </w:pPr>
      <w:r w:rsidRPr="00A1103B">
        <w:rPr>
          <w:szCs w:val="22"/>
        </w:rPr>
        <w:t>Commercial overnight mail (other than U.S. Postal Service Express Mail and Priority Mail) must be sent to 9300 East Hampton Drive, Capitol Heights, MD  20743.</w:t>
      </w:r>
    </w:p>
    <w:p w:rsidR="00264877" w:rsidRPr="00A1103B" w:rsidRDefault="00264877" w:rsidP="00264877">
      <w:pPr>
        <w:pStyle w:val="ParaNum"/>
        <w:numPr>
          <w:ilvl w:val="1"/>
          <w:numId w:val="11"/>
        </w:numPr>
        <w:rPr>
          <w:szCs w:val="22"/>
        </w:rPr>
      </w:pPr>
      <w:r w:rsidRPr="00A1103B">
        <w:rPr>
          <w:szCs w:val="22"/>
        </w:rPr>
        <w:t>U.S. Postal Service first-class, Express, and Priority mail must be addressed to 445 12th Street, SW, Washington</w:t>
      </w:r>
      <w:r w:rsidR="00F95F06">
        <w:rPr>
          <w:szCs w:val="22"/>
        </w:rPr>
        <w:t>,</w:t>
      </w:r>
      <w:r w:rsidRPr="00A1103B">
        <w:rPr>
          <w:szCs w:val="22"/>
        </w:rPr>
        <w:t xml:space="preserve"> DC  20554.</w:t>
      </w:r>
    </w:p>
    <w:p w:rsidR="00264877" w:rsidRDefault="00264877" w:rsidP="00F15C95">
      <w:pPr>
        <w:pStyle w:val="ParaNum"/>
      </w:pPr>
      <w:r w:rsidRPr="00A1103B">
        <w:t xml:space="preserve">People with Disabilities:  To request materials in accessible formats for people with disabilities (braille, large print, electronic files, audio format), send an e-mail to </w:t>
      </w:r>
      <w:hyperlink r:id="rId9" w:history="1">
        <w:r w:rsidRPr="00A1103B">
          <w:rPr>
            <w:rStyle w:val="Hyperlink"/>
            <w:szCs w:val="22"/>
          </w:rPr>
          <w:t>fcc504@fcc.gov</w:t>
        </w:r>
      </w:hyperlink>
      <w:r w:rsidRPr="00A1103B">
        <w:t xml:space="preserve"> or call the Consumer &amp; Governmental Affairs Bureau at 202-418-0530 (voice), 202-418-0432 (tty).</w:t>
      </w:r>
    </w:p>
    <w:p w:rsidR="00264877" w:rsidRDefault="00264877" w:rsidP="00264877">
      <w:pPr>
        <w:pStyle w:val="Heading2"/>
        <w:rPr>
          <w:b w:val="0"/>
          <w:szCs w:val="22"/>
        </w:rPr>
      </w:pPr>
      <w:bookmarkStart w:id="266" w:name="_Toc382567936"/>
      <w:bookmarkStart w:id="267" w:name="_Toc384227072"/>
      <w:bookmarkStart w:id="268" w:name="_Toc394672327"/>
      <w:bookmarkStart w:id="269" w:name="_Toc397078344"/>
      <w:r w:rsidRPr="00A1103B">
        <w:rPr>
          <w:szCs w:val="22"/>
        </w:rPr>
        <w:t>Ex Parte Information</w:t>
      </w:r>
      <w:bookmarkEnd w:id="266"/>
      <w:bookmarkEnd w:id="267"/>
      <w:bookmarkEnd w:id="268"/>
      <w:bookmarkEnd w:id="269"/>
    </w:p>
    <w:p w:rsidR="00264877" w:rsidRPr="003A50D5" w:rsidRDefault="00264877" w:rsidP="00F15C95">
      <w:pPr>
        <w:pStyle w:val="ParaNum"/>
      </w:pPr>
      <w:r>
        <w:t xml:space="preserve">This proceeding </w:t>
      </w:r>
      <w:r w:rsidRPr="00A1103B">
        <w:t xml:space="preserve">shall be treated as a “permit-but-disclose” proceeding in accordance with the Commission’s ex parte rules.  Persons making ex parte presentations must file a copy of any written presentation or a memorandum summarizing any oral presentation within two business days after the presentation (unless a different deadline applicable to the Sunshine period applies).  Persons making oral ex parte presentations are reminded that memoranda summarizing the presentation must list all persons attending or otherwise participating in the meeting at which the ex parte presentation was made, and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ex parte meetings are deemed to </w:t>
      </w:r>
      <w:r w:rsidRPr="00A1103B">
        <w:lastRenderedPageBreak/>
        <w:t>be written ex parte presentations and must be filed consistent with rule 1.1206(b).  In proceedings governed by rule 1.49(f) or for which the Commission has made available a method of electronic filing, written ex parte presentations and memoranda summarizing oral ex parte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w:t>
      </w:r>
      <w:r w:rsidR="00F95F06">
        <w:t>’</w:t>
      </w:r>
      <w:r w:rsidRPr="00A1103B">
        <w:t>s ex parte rules</w:t>
      </w:r>
      <w:r>
        <w:t>.</w:t>
      </w:r>
    </w:p>
    <w:p w:rsidR="00264877" w:rsidRPr="007F7B4B" w:rsidRDefault="00264877" w:rsidP="00264877">
      <w:pPr>
        <w:pStyle w:val="Heading1"/>
        <w:rPr>
          <w:rFonts w:ascii="Times New Roman" w:hAnsi="Times New Roman"/>
          <w:szCs w:val="22"/>
        </w:rPr>
      </w:pPr>
      <w:bookmarkStart w:id="270" w:name="_Toc351484777"/>
      <w:bookmarkStart w:id="271" w:name="_Toc351484823"/>
      <w:bookmarkStart w:id="272" w:name="_Toc351484965"/>
      <w:bookmarkStart w:id="273" w:name="_Toc351571074"/>
      <w:bookmarkStart w:id="274" w:name="_Toc353032064"/>
      <w:bookmarkStart w:id="275" w:name="_Toc351572438"/>
      <w:bookmarkStart w:id="276" w:name="_Toc352943197"/>
      <w:bookmarkStart w:id="277" w:name="_Toc352943646"/>
      <w:bookmarkStart w:id="278" w:name="_Toc353987741"/>
      <w:bookmarkStart w:id="279" w:name="_Toc390878816"/>
      <w:bookmarkStart w:id="280" w:name="_Toc394672328"/>
      <w:bookmarkStart w:id="281" w:name="_Toc397078345"/>
      <w:r w:rsidRPr="007F7B4B">
        <w:rPr>
          <w:rFonts w:ascii="Times New Roman" w:hAnsi="Times New Roman"/>
          <w:szCs w:val="22"/>
        </w:rPr>
        <w:t>ORDERING CLAUSES</w:t>
      </w:r>
      <w:bookmarkEnd w:id="270"/>
      <w:bookmarkEnd w:id="271"/>
      <w:bookmarkEnd w:id="272"/>
      <w:bookmarkEnd w:id="273"/>
      <w:bookmarkEnd w:id="274"/>
      <w:bookmarkEnd w:id="275"/>
      <w:bookmarkEnd w:id="276"/>
      <w:bookmarkEnd w:id="277"/>
      <w:bookmarkEnd w:id="278"/>
      <w:bookmarkEnd w:id="279"/>
      <w:bookmarkEnd w:id="280"/>
      <w:bookmarkEnd w:id="281"/>
    </w:p>
    <w:p w:rsidR="00264877" w:rsidRDefault="00264877" w:rsidP="00F15C95">
      <w:pPr>
        <w:pStyle w:val="ParaNum"/>
      </w:pPr>
      <w:r w:rsidRPr="007F7B4B">
        <w:t xml:space="preserve">Accordingly, </w:t>
      </w:r>
      <w:r w:rsidRPr="007F7B4B">
        <w:rPr>
          <w:b/>
        </w:rPr>
        <w:t>IT IS ORDERED</w:t>
      </w:r>
      <w:r w:rsidRPr="007F7B4B">
        <w:t xml:space="preserve"> that, pursuant to Sections 4(i) and (j), 9, and 303(r) of the Communications Act of 1934, as amended, 47 U.S.C. §§ 154(i), 154(j), 159, and 303(r), this Report and Order </w:t>
      </w:r>
      <w:r>
        <w:t xml:space="preserve">and Further Notice of Proposed Rulemaking </w:t>
      </w:r>
      <w:r w:rsidRPr="007F7B4B">
        <w:rPr>
          <w:b/>
        </w:rPr>
        <w:t>IS HEREBY ADOPTED</w:t>
      </w:r>
      <w:r w:rsidRPr="007F7B4B">
        <w:t>.</w:t>
      </w:r>
    </w:p>
    <w:p w:rsidR="00264877" w:rsidRDefault="00264877" w:rsidP="00F15C95">
      <w:pPr>
        <w:pStyle w:val="ParaNum"/>
      </w:pPr>
      <w:r>
        <w:rPr>
          <w:b/>
        </w:rPr>
        <w:t xml:space="preserve">IT IS FURTHER ORDERED </w:t>
      </w:r>
      <w:r>
        <w:t xml:space="preserve">that, as provided in paragraph </w:t>
      </w:r>
      <w:r w:rsidR="0067780B">
        <w:t>5</w:t>
      </w:r>
      <w:r w:rsidR="005261EC">
        <w:t>4</w:t>
      </w:r>
      <w:r>
        <w:t xml:space="preserve">, this Report and Order </w:t>
      </w:r>
      <w:r w:rsidRPr="00B16900">
        <w:rPr>
          <w:b/>
        </w:rPr>
        <w:t>SHALL BE EFFECTIVE</w:t>
      </w:r>
      <w:r>
        <w:t xml:space="preserve"> upon publication in the Federal Register.</w:t>
      </w:r>
    </w:p>
    <w:p w:rsidR="00264877" w:rsidRPr="008067D4" w:rsidRDefault="00264877" w:rsidP="00F15C95">
      <w:pPr>
        <w:pStyle w:val="ParaNum"/>
      </w:pPr>
      <w:r w:rsidRPr="007F7B4B">
        <w:rPr>
          <w:b/>
        </w:rPr>
        <w:t xml:space="preserve">IT IS FURTHER ORDERED </w:t>
      </w:r>
      <w:r w:rsidRPr="007F7B4B">
        <w:t xml:space="preserve">that the Commission’s Consumer and Governmental Affairs Bureau, Reference Information Center, </w:t>
      </w:r>
      <w:r w:rsidRPr="007F7B4B">
        <w:rPr>
          <w:b/>
        </w:rPr>
        <w:t>SHALL SEND</w:t>
      </w:r>
      <w:r w:rsidRPr="007F7B4B">
        <w:t xml:space="preserve"> a copy of this Report and Order, including the Final Regulatory Fl</w:t>
      </w:r>
      <w:r w:rsidR="0090094D">
        <w:t>exibility Analysis in Appendix</w:t>
      </w:r>
      <w:r w:rsidRPr="007F7B4B">
        <w:t xml:space="preserve"> </w:t>
      </w:r>
      <w:r w:rsidRPr="0067780B">
        <w:t>F</w:t>
      </w:r>
      <w:r>
        <w:t>,</w:t>
      </w:r>
      <w:r w:rsidRPr="007F7B4B">
        <w:t xml:space="preserve"> to the Chief Counsel for Advocacy of the U.S. Small Business Administration.</w:t>
      </w:r>
    </w:p>
    <w:p w:rsidR="00264877" w:rsidRPr="007F7B4B" w:rsidRDefault="00264877" w:rsidP="00264877">
      <w:pPr>
        <w:pStyle w:val="Heading1"/>
        <w:numPr>
          <w:ilvl w:val="0"/>
          <w:numId w:val="0"/>
        </w:numPr>
        <w:ind w:left="720" w:hanging="720"/>
        <w:rPr>
          <w:rFonts w:ascii="Times New Roman" w:hAnsi="Times New Roman"/>
          <w:szCs w:val="22"/>
        </w:rPr>
      </w:pPr>
    </w:p>
    <w:p w:rsidR="00F720A5" w:rsidRDefault="00F720A5" w:rsidP="00DD2A3A">
      <w:r>
        <w:tab/>
      </w:r>
      <w:r>
        <w:tab/>
      </w:r>
      <w:r>
        <w:tab/>
      </w:r>
      <w:r>
        <w:tab/>
      </w:r>
      <w:r>
        <w:tab/>
      </w:r>
      <w:r>
        <w:tab/>
        <w:t>FEDERAL COMMUNICATIONS COMMISSION</w:t>
      </w:r>
    </w:p>
    <w:p w:rsidR="00F720A5" w:rsidRDefault="00F720A5" w:rsidP="00DD2A3A"/>
    <w:p w:rsidR="00F720A5" w:rsidRDefault="00F720A5" w:rsidP="00DD2A3A"/>
    <w:p w:rsidR="00F720A5" w:rsidRDefault="00F720A5" w:rsidP="00DD2A3A"/>
    <w:p w:rsidR="00F720A5" w:rsidRDefault="00F720A5" w:rsidP="00DD2A3A"/>
    <w:p w:rsidR="00F720A5" w:rsidRDefault="00F720A5" w:rsidP="00DD2A3A">
      <w:r>
        <w:tab/>
      </w:r>
      <w:r>
        <w:tab/>
      </w:r>
      <w:r>
        <w:tab/>
      </w:r>
      <w:r>
        <w:tab/>
      </w:r>
      <w:r>
        <w:tab/>
      </w:r>
      <w:r>
        <w:tab/>
        <w:t>Marlene H. Dortch</w:t>
      </w:r>
    </w:p>
    <w:p w:rsidR="00F720A5" w:rsidRDefault="00F720A5" w:rsidP="00DD2A3A">
      <w:r>
        <w:tab/>
      </w:r>
      <w:r>
        <w:tab/>
      </w:r>
      <w:r>
        <w:tab/>
      </w:r>
      <w:r>
        <w:tab/>
      </w:r>
      <w:r>
        <w:tab/>
      </w:r>
      <w:r>
        <w:tab/>
        <w:t>Secretary</w:t>
      </w:r>
    </w:p>
    <w:p w:rsidR="00264877" w:rsidRPr="007F7B4B" w:rsidRDefault="00264877" w:rsidP="00264877">
      <w:pPr>
        <w:pStyle w:val="ParaNum"/>
        <w:numPr>
          <w:ilvl w:val="0"/>
          <w:numId w:val="0"/>
        </w:numPr>
        <w:ind w:firstLine="630"/>
        <w:rPr>
          <w:szCs w:val="22"/>
        </w:rPr>
      </w:pPr>
    </w:p>
    <w:p w:rsidR="00264877" w:rsidRPr="007F7B4B" w:rsidRDefault="00264877" w:rsidP="00F720A5">
      <w:r w:rsidRPr="007F7B4B">
        <w:tab/>
      </w:r>
      <w:r w:rsidRPr="007F7B4B">
        <w:tab/>
      </w:r>
      <w:r w:rsidRPr="007F7B4B">
        <w:tab/>
      </w:r>
      <w:r w:rsidRPr="007F7B4B">
        <w:tab/>
      </w:r>
      <w:r w:rsidRPr="007F7B4B">
        <w:tab/>
      </w:r>
    </w:p>
    <w:p w:rsidR="00264877" w:rsidRDefault="00264877" w:rsidP="00264877">
      <w:pPr>
        <w:tabs>
          <w:tab w:val="left" w:pos="1440"/>
        </w:tabs>
        <w:suppressAutoHyphens/>
        <w:spacing w:line="240" w:lineRule="atLeast"/>
        <w:ind w:firstLine="720"/>
        <w:jc w:val="center"/>
        <w:rPr>
          <w:szCs w:val="22"/>
        </w:rPr>
      </w:pPr>
      <w:r>
        <w:rPr>
          <w:szCs w:val="22"/>
        </w:rPr>
        <w:br w:type="page"/>
      </w:r>
      <w:r w:rsidR="005261EC">
        <w:rPr>
          <w:b/>
          <w:szCs w:val="22"/>
        </w:rPr>
        <w:lastRenderedPageBreak/>
        <w:t>APPENDIX</w:t>
      </w:r>
      <w:r>
        <w:rPr>
          <w:b/>
          <w:szCs w:val="22"/>
        </w:rPr>
        <w:t xml:space="preserve"> A</w:t>
      </w:r>
    </w:p>
    <w:p w:rsidR="00264877" w:rsidRDefault="00264877" w:rsidP="00264877">
      <w:pPr>
        <w:tabs>
          <w:tab w:val="left" w:pos="1440"/>
        </w:tabs>
        <w:suppressAutoHyphens/>
        <w:spacing w:line="240" w:lineRule="atLeast"/>
        <w:ind w:firstLine="720"/>
        <w:jc w:val="center"/>
        <w:rPr>
          <w:szCs w:val="22"/>
        </w:rPr>
      </w:pPr>
    </w:p>
    <w:p w:rsidR="00264877" w:rsidRPr="0066461B" w:rsidRDefault="00264877" w:rsidP="00264877">
      <w:pPr>
        <w:tabs>
          <w:tab w:val="left" w:pos="1440"/>
        </w:tabs>
        <w:suppressAutoHyphens/>
        <w:spacing w:line="240" w:lineRule="atLeast"/>
        <w:ind w:firstLine="720"/>
        <w:jc w:val="center"/>
        <w:rPr>
          <w:b/>
          <w:szCs w:val="22"/>
        </w:rPr>
      </w:pPr>
      <w:r w:rsidRPr="00A11977">
        <w:rPr>
          <w:b/>
          <w:szCs w:val="22"/>
        </w:rPr>
        <w:t>List of Commenters</w:t>
      </w:r>
      <w:r>
        <w:rPr>
          <w:b/>
          <w:szCs w:val="22"/>
        </w:rPr>
        <w:t>—Initial Comments</w:t>
      </w:r>
    </w:p>
    <w:p w:rsidR="00264877" w:rsidRPr="0066461B" w:rsidRDefault="00264877" w:rsidP="00264877">
      <w:pPr>
        <w:tabs>
          <w:tab w:val="left" w:pos="1440"/>
        </w:tabs>
        <w:suppressAutoHyphens/>
        <w:spacing w:line="240" w:lineRule="atLeast"/>
        <w:ind w:firstLine="720"/>
        <w:jc w:val="center"/>
        <w:rPr>
          <w:b/>
          <w:szCs w:val="22"/>
        </w:rPr>
      </w:pPr>
    </w:p>
    <w:tbl>
      <w:tblPr>
        <w:tblStyle w:val="TableGrid"/>
        <w:tblW w:w="0" w:type="auto"/>
        <w:tblLook w:val="04A0"/>
      </w:tblPr>
      <w:tblGrid>
        <w:gridCol w:w="4680"/>
        <w:gridCol w:w="4670"/>
      </w:tblGrid>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b/>
              </w:rPr>
            </w:pPr>
            <w:r w:rsidRPr="00883A16">
              <w:rPr>
                <w:rFonts w:ascii="Times New Roman" w:hAnsi="Times New Roman" w:cs="Times New Roman"/>
                <w:b/>
              </w:rPr>
              <w:t>Commenter</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b/>
              </w:rPr>
            </w:pPr>
            <w:r w:rsidRPr="00883A16">
              <w:rPr>
                <w:rFonts w:ascii="Times New Roman" w:hAnsi="Times New Roman" w:cs="Times New Roman"/>
                <w:b/>
              </w:rPr>
              <w:t>Abbreviation</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American Cable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ACA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AT&amp;T Services, Inc.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AT&amp;T</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Aviation Spectrum Resources, Inc.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ASRI</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Bell Canada</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Bell Canada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Terry Cowan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T. Cowan</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Critical Messaging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CMA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DirecTV, LLC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DirecTV</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CTIA—The Wireless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CTIA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DirecTV, LLC and DISH Network L.L.C.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DirecTV and DISH</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EchoStar Satellite Operating Company and Hughes Network Systems, LLC and DISH Network L.L.C.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EchoStar and DISH</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G. Kris Harrison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K. Harrison</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Intelsat License LLC</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Intelsat</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ITTA-the Voice of Midsize Communications Companies, the Eastern Rural Telecom Association, and Windstream Corporation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ITTA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P. Randall Knowles</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R. Knowles</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National Association of Broadcasters</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NAB</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National Cable &amp; Telecommunications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NCTA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North American Submarine Cable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NASCA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Satellite Industry Association</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SIA</w:t>
            </w:r>
          </w:p>
        </w:tc>
      </w:tr>
      <w:tr w:rsidR="00264877" w:rsidRPr="00883A16" w:rsidTr="00927811">
        <w:tc>
          <w:tcPr>
            <w:tcW w:w="468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SES Americom, Inc., Inmarsat, Inc., and Telesat Canada</w:t>
            </w:r>
          </w:p>
        </w:tc>
        <w:tc>
          <w:tcPr>
            <w:tcW w:w="4670"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Satellite Parties</w:t>
            </w:r>
          </w:p>
        </w:tc>
      </w:tr>
    </w:tbl>
    <w:p w:rsidR="00264877" w:rsidRPr="00883A16" w:rsidRDefault="00264877" w:rsidP="00264877">
      <w:pPr>
        <w:tabs>
          <w:tab w:val="left" w:pos="1440"/>
        </w:tabs>
        <w:suppressAutoHyphens/>
        <w:spacing w:line="240" w:lineRule="atLeast"/>
        <w:ind w:firstLine="720"/>
        <w:jc w:val="center"/>
        <w:rPr>
          <w:b/>
          <w:szCs w:val="22"/>
        </w:rPr>
      </w:pPr>
    </w:p>
    <w:p w:rsidR="00264877" w:rsidRPr="00883A16" w:rsidRDefault="00264877" w:rsidP="00264877">
      <w:pPr>
        <w:tabs>
          <w:tab w:val="left" w:pos="1440"/>
        </w:tabs>
        <w:suppressAutoHyphens/>
        <w:spacing w:line="240" w:lineRule="atLeast"/>
        <w:ind w:firstLine="720"/>
        <w:jc w:val="center"/>
        <w:rPr>
          <w:b/>
          <w:szCs w:val="22"/>
        </w:rPr>
      </w:pPr>
      <w:r w:rsidRPr="00883A16">
        <w:rPr>
          <w:b/>
          <w:szCs w:val="22"/>
        </w:rPr>
        <w:t>List of Commenters—Reply Comments</w:t>
      </w:r>
    </w:p>
    <w:p w:rsidR="00264877" w:rsidRPr="00883A16" w:rsidRDefault="00264877" w:rsidP="00264877">
      <w:pPr>
        <w:tabs>
          <w:tab w:val="left" w:pos="1440"/>
        </w:tabs>
        <w:suppressAutoHyphens/>
        <w:spacing w:line="240" w:lineRule="atLeast"/>
        <w:ind w:firstLine="720"/>
        <w:jc w:val="center"/>
        <w:rPr>
          <w:b/>
          <w:szCs w:val="22"/>
        </w:rPr>
      </w:pPr>
    </w:p>
    <w:tbl>
      <w:tblPr>
        <w:tblStyle w:val="TableGrid"/>
        <w:tblW w:w="0" w:type="auto"/>
        <w:tblLook w:val="04A0"/>
      </w:tblPr>
      <w:tblGrid>
        <w:gridCol w:w="4788"/>
        <w:gridCol w:w="4788"/>
      </w:tblGrid>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b/>
              </w:rPr>
            </w:pPr>
            <w:r w:rsidRPr="00883A16">
              <w:rPr>
                <w:rFonts w:ascii="Times New Roman" w:hAnsi="Times New Roman" w:cs="Times New Roman"/>
                <w:b/>
              </w:rPr>
              <w:t>Commenter</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b/>
              </w:rPr>
            </w:pPr>
            <w:r w:rsidRPr="00883A16">
              <w:rPr>
                <w:rFonts w:ascii="Times New Roman" w:hAnsi="Times New Roman" w:cs="Times New Roman"/>
                <w:b/>
              </w:rPr>
              <w:t>Abbreviation</w:t>
            </w:r>
          </w:p>
        </w:tc>
      </w:tr>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Bandwidth.com, Inc.</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Bandwidth.com</w:t>
            </w:r>
          </w:p>
        </w:tc>
      </w:tr>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Intelsat License LLC</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Intelsat</w:t>
            </w:r>
          </w:p>
        </w:tc>
      </w:tr>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P. Randall Knowles</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R. Knowles</w:t>
            </w:r>
          </w:p>
        </w:tc>
      </w:tr>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National Cable &amp; Telecommunications Association and American Cable Association</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NCTA and ACA</w:t>
            </w:r>
          </w:p>
        </w:tc>
      </w:tr>
      <w:tr w:rsidR="00264877" w:rsidRPr="00883A16" w:rsidTr="00927811">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SES Americom, Inc., Inmarsat, Inc., and Telesat Canada</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Satellite Parties</w:t>
            </w:r>
          </w:p>
        </w:tc>
      </w:tr>
      <w:tr w:rsidR="00264877" w:rsidRPr="00883A16" w:rsidTr="00883A16">
        <w:trPr>
          <w:trHeight w:val="62"/>
        </w:trPr>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United States Telecom Association</w:t>
            </w:r>
          </w:p>
        </w:tc>
        <w:tc>
          <w:tcPr>
            <w:tcW w:w="4788" w:type="dxa"/>
          </w:tcPr>
          <w:p w:rsidR="00264877" w:rsidRPr="00883A16" w:rsidRDefault="00264877" w:rsidP="00927811">
            <w:pPr>
              <w:tabs>
                <w:tab w:val="left" w:pos="1440"/>
              </w:tabs>
              <w:suppressAutoHyphens/>
              <w:spacing w:line="240" w:lineRule="atLeast"/>
              <w:jc w:val="center"/>
              <w:rPr>
                <w:rFonts w:ascii="Times New Roman" w:hAnsi="Times New Roman" w:cs="Times New Roman"/>
              </w:rPr>
            </w:pPr>
            <w:r w:rsidRPr="00883A16">
              <w:rPr>
                <w:rFonts w:ascii="Times New Roman" w:hAnsi="Times New Roman" w:cs="Times New Roman"/>
              </w:rPr>
              <w:t>USTelecom</w:t>
            </w:r>
          </w:p>
        </w:tc>
      </w:tr>
    </w:tbl>
    <w:p w:rsidR="00264877" w:rsidRPr="00883A16" w:rsidRDefault="00264877" w:rsidP="00264877">
      <w:pPr>
        <w:tabs>
          <w:tab w:val="left" w:pos="1440"/>
        </w:tabs>
        <w:suppressAutoHyphens/>
        <w:spacing w:line="240" w:lineRule="atLeast"/>
        <w:ind w:firstLine="720"/>
        <w:jc w:val="center"/>
        <w:rPr>
          <w:szCs w:val="22"/>
        </w:rPr>
      </w:pPr>
    </w:p>
    <w:p w:rsidR="00264877" w:rsidRPr="00E67C1F" w:rsidRDefault="00264877" w:rsidP="00264877">
      <w:pPr>
        <w:jc w:val="center"/>
        <w:rPr>
          <w:color w:val="000000"/>
        </w:rPr>
      </w:pPr>
      <w:r w:rsidRPr="00883A16">
        <w:rPr>
          <w:szCs w:val="22"/>
        </w:rPr>
        <w:br w:type="page"/>
      </w:r>
    </w:p>
    <w:p w:rsidR="00F1207E" w:rsidRDefault="005261EC" w:rsidP="00F1207E">
      <w:pPr>
        <w:autoSpaceDE w:val="0"/>
        <w:autoSpaceDN w:val="0"/>
        <w:adjustRightInd w:val="0"/>
        <w:jc w:val="center"/>
        <w:rPr>
          <w:b/>
        </w:rPr>
      </w:pPr>
      <w:r>
        <w:rPr>
          <w:b/>
        </w:rPr>
        <w:lastRenderedPageBreak/>
        <w:t>APPENDIX</w:t>
      </w:r>
      <w:r w:rsidR="00F1207E">
        <w:rPr>
          <w:b/>
        </w:rPr>
        <w:t xml:space="preserve"> B</w:t>
      </w:r>
    </w:p>
    <w:p w:rsidR="00F1207E" w:rsidRDefault="00F1207E" w:rsidP="00F1207E">
      <w:pPr>
        <w:autoSpaceDE w:val="0"/>
        <w:autoSpaceDN w:val="0"/>
        <w:adjustRightInd w:val="0"/>
        <w:jc w:val="center"/>
        <w:rPr>
          <w:b/>
        </w:rPr>
      </w:pPr>
    </w:p>
    <w:p w:rsidR="00F1207E" w:rsidRDefault="00F1207E" w:rsidP="00F1207E">
      <w:pPr>
        <w:jc w:val="center"/>
        <w:rPr>
          <w:b/>
        </w:rPr>
      </w:pPr>
      <w:r>
        <w:rPr>
          <w:b/>
        </w:rPr>
        <w:t>Calculation of FY 2014 Revenue Requirements and Pro-Rata Fees</w:t>
      </w:r>
    </w:p>
    <w:p w:rsidR="00F1207E" w:rsidRDefault="00F1207E" w:rsidP="00F1207E">
      <w:pPr>
        <w:jc w:val="center"/>
        <w:rPr>
          <w:b/>
        </w:rPr>
      </w:pPr>
    </w:p>
    <w:p w:rsidR="00F1207E" w:rsidRDefault="00F1207E" w:rsidP="00F1207E">
      <w:pPr>
        <w:tabs>
          <w:tab w:val="center" w:pos="5040"/>
        </w:tabs>
        <w:suppressAutoHyphens/>
        <w:outlineLvl w:val="0"/>
        <w:rPr>
          <w:b/>
          <w:szCs w:val="22"/>
        </w:rPr>
      </w:pPr>
      <w:bookmarkStart w:id="282" w:name="_Toc394672329"/>
      <w:r>
        <w:rPr>
          <w:szCs w:val="22"/>
        </w:rPr>
        <w:t>Regulatory fees for the categories shaded in gray are collected by the Commission in advance to cover the term of the license and are submitted at the time the application is filed.</w:t>
      </w:r>
      <w:bookmarkEnd w:id="282"/>
      <w:r>
        <w:rPr>
          <w:szCs w:val="22"/>
        </w:rPr>
        <w:t xml:space="preserve">  </w:t>
      </w:r>
    </w:p>
    <w:tbl>
      <w:tblPr>
        <w:tblW w:w="9000" w:type="dxa"/>
        <w:tblInd w:w="-60" w:type="dxa"/>
        <w:tblLayout w:type="fixed"/>
        <w:tblCellMar>
          <w:left w:w="30" w:type="dxa"/>
          <w:right w:w="30" w:type="dxa"/>
        </w:tblCellMar>
        <w:tblLook w:val="0000"/>
      </w:tblPr>
      <w:tblGrid>
        <w:gridCol w:w="1710"/>
        <w:gridCol w:w="1350"/>
        <w:gridCol w:w="630"/>
        <w:gridCol w:w="1080"/>
        <w:gridCol w:w="1080"/>
        <w:gridCol w:w="1080"/>
        <w:gridCol w:w="900"/>
        <w:gridCol w:w="1170"/>
      </w:tblGrid>
      <w:tr w:rsidR="00F1207E" w:rsidTr="00F1207E">
        <w:trPr>
          <w:tblHeader/>
        </w:trPr>
        <w:tc>
          <w:tcPr>
            <w:tcW w:w="1710" w:type="dxa"/>
            <w:tcBorders>
              <w:top w:val="double" w:sz="6" w:space="0" w:color="auto"/>
              <w:left w:val="double" w:sz="6" w:space="0" w:color="auto"/>
              <w:bottom w:val="single" w:sz="18" w:space="0" w:color="auto"/>
            </w:tcBorders>
          </w:tcPr>
          <w:p w:rsidR="00F1207E" w:rsidRDefault="001A7F66"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 w:val="20"/>
              </w:rPr>
            </w:pPr>
            <w:r>
              <w:rPr>
                <w:b/>
                <w:sz w:val="20"/>
              </w:rPr>
              <w:fldChar w:fldCharType="begin"/>
            </w:r>
            <w:r w:rsidR="00F1207E">
              <w:rPr>
                <w:b/>
                <w:sz w:val="20"/>
              </w:rPr>
              <w:instrText xml:space="preserve">PRIVATE </w:instrText>
            </w:r>
            <w:r>
              <w:rPr>
                <w:b/>
                <w:sz w:val="20"/>
              </w:rPr>
              <w:fldChar w:fldCharType="end"/>
            </w:r>
            <w:r w:rsidR="00F1207E">
              <w:rPr>
                <w:b/>
                <w:sz w:val="20"/>
              </w:rPr>
              <w:t>Fee Category</w:t>
            </w:r>
          </w:p>
        </w:tc>
        <w:tc>
          <w:tcPr>
            <w:tcW w:w="1350" w:type="dxa"/>
            <w:tcBorders>
              <w:top w:val="double" w:sz="6" w:space="0" w:color="auto"/>
              <w:left w:val="single" w:sz="6" w:space="0" w:color="auto"/>
              <w:bottom w:val="single" w:sz="1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 w:val="20"/>
              </w:rPr>
            </w:pPr>
            <w:r>
              <w:rPr>
                <w:b/>
                <w:sz w:val="20"/>
              </w:rPr>
              <w:t>FY 2014 Payment Units</w:t>
            </w:r>
          </w:p>
        </w:tc>
        <w:tc>
          <w:tcPr>
            <w:tcW w:w="630" w:type="dxa"/>
            <w:tcBorders>
              <w:top w:val="double" w:sz="6" w:space="0" w:color="auto"/>
              <w:left w:val="single" w:sz="6" w:space="0" w:color="auto"/>
              <w:bottom w:val="single" w:sz="1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 w:val="20"/>
              </w:rPr>
            </w:pPr>
            <w:r>
              <w:rPr>
                <w:b/>
                <w:sz w:val="20"/>
              </w:rPr>
              <w:t>Years</w:t>
            </w:r>
          </w:p>
        </w:tc>
        <w:tc>
          <w:tcPr>
            <w:tcW w:w="1080" w:type="dxa"/>
            <w:tcBorders>
              <w:top w:val="double" w:sz="6" w:space="0" w:color="auto"/>
              <w:left w:val="single" w:sz="6" w:space="0" w:color="auto"/>
              <w:bottom w:val="single" w:sz="1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 w:val="20"/>
              </w:rPr>
            </w:pPr>
            <w:r>
              <w:rPr>
                <w:b/>
                <w:sz w:val="20"/>
              </w:rPr>
              <w:t>FY 2013 Revenue Estimate</w:t>
            </w:r>
          </w:p>
        </w:tc>
        <w:tc>
          <w:tcPr>
            <w:tcW w:w="1080" w:type="dxa"/>
            <w:tcBorders>
              <w:top w:val="double" w:sz="6" w:space="0" w:color="auto"/>
              <w:left w:val="single" w:sz="6" w:space="0" w:color="auto"/>
              <w:bottom w:val="single" w:sz="1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b/>
                <w:sz w:val="20"/>
              </w:rPr>
            </w:pPr>
            <w:r>
              <w:rPr>
                <w:b/>
                <w:sz w:val="20"/>
              </w:rPr>
              <w:t>Pro-Rated FY 2014 Revenue Require-ment</w:t>
            </w:r>
          </w:p>
        </w:tc>
        <w:tc>
          <w:tcPr>
            <w:tcW w:w="1080" w:type="dxa"/>
            <w:tcBorders>
              <w:top w:val="double" w:sz="6" w:space="0" w:color="auto"/>
              <w:left w:val="single" w:sz="6" w:space="0" w:color="auto"/>
              <w:bottom w:val="single" w:sz="18"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b/>
                <w:sz w:val="20"/>
              </w:rPr>
              <w:t>Computed Uncapped FY 2014 Regulatory Fee</w:t>
            </w:r>
          </w:p>
        </w:tc>
        <w:tc>
          <w:tcPr>
            <w:tcW w:w="900" w:type="dxa"/>
            <w:tcBorders>
              <w:top w:val="double" w:sz="6" w:space="0" w:color="auto"/>
              <w:left w:val="single" w:sz="6" w:space="0" w:color="auto"/>
              <w:bottom w:val="single" w:sz="1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 xml:space="preserve"> Rounded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 xml:space="preserve">FY 2014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b/>
                <w:sz w:val="20"/>
              </w:rPr>
              <w:t>Regula-tory Fee</w:t>
            </w:r>
          </w:p>
        </w:tc>
        <w:tc>
          <w:tcPr>
            <w:tcW w:w="1170" w:type="dxa"/>
            <w:tcBorders>
              <w:top w:val="double" w:sz="6" w:space="0" w:color="auto"/>
              <w:left w:val="single" w:sz="6" w:space="0" w:color="auto"/>
              <w:bottom w:val="single" w:sz="18"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Expected</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FY 2014</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b/>
                <w:sz w:val="20"/>
              </w:rPr>
              <w:t>Revenue</w:t>
            </w:r>
          </w:p>
        </w:tc>
      </w:tr>
      <w:tr w:rsidR="00F1207E" w:rsidTr="00F1207E">
        <w:tc>
          <w:tcPr>
            <w:tcW w:w="1710" w:type="dxa"/>
            <w:tcBorders>
              <w:top w:val="single" w:sz="1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 xml:space="preserve"> PLMRS (Exclusive Use) </w:t>
            </w:r>
          </w:p>
        </w:tc>
        <w:tc>
          <w:tcPr>
            <w:tcW w:w="135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1,700</w:t>
            </w:r>
          </w:p>
        </w:tc>
        <w:tc>
          <w:tcPr>
            <w:tcW w:w="63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560,000</w:t>
            </w:r>
          </w:p>
        </w:tc>
        <w:tc>
          <w:tcPr>
            <w:tcW w:w="108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595,000</w:t>
            </w:r>
          </w:p>
        </w:tc>
        <w:tc>
          <w:tcPr>
            <w:tcW w:w="108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35</w:t>
            </w:r>
          </w:p>
        </w:tc>
        <w:tc>
          <w:tcPr>
            <w:tcW w:w="900" w:type="dxa"/>
            <w:tcBorders>
              <w:top w:val="single" w:sz="1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35</w:t>
            </w:r>
          </w:p>
        </w:tc>
        <w:tc>
          <w:tcPr>
            <w:tcW w:w="1170" w:type="dxa"/>
            <w:tcBorders>
              <w:top w:val="single" w:sz="1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595,000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PLMRS (Shared use)</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30,000</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2,250,000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3,000,000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3,000,000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Microwave</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17,000</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2,640,000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2,550,000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2,550,000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218-219 MHz (Formerly IVDS)</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3,750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82</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80</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Marine (Ship)</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5,200 </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655,000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780,000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780,000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GMRS</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8,900</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5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197,500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222,500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222,500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Aviation (Aircraft)</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4,200 </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290,000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420,000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420,000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Marine (Coast)</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300 </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156,750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165,000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55</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55</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165,000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Aviation (Ground)</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510 </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135,000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153,000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153,000</w:t>
            </w:r>
          </w:p>
        </w:tc>
      </w:tr>
      <w:tr w:rsidR="00F1207E" w:rsidTr="00F1207E">
        <w:tc>
          <w:tcPr>
            <w:tcW w:w="1710" w:type="dxa"/>
            <w:tcBorders>
              <w:top w:val="single" w:sz="8" w:space="0" w:color="auto"/>
              <w:left w:val="double" w:sz="12" w:space="0" w:color="auto"/>
              <w:bottom w:val="single" w:sz="8" w:space="0" w:color="auto"/>
              <w:right w:val="single" w:sz="8" w:space="0" w:color="auto"/>
            </w:tcBorders>
            <w:shd w:val="clear" w:color="auto" w:fill="C0C0C0"/>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Amateur Vanity Call Signs</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11,500</w:t>
            </w:r>
          </w:p>
        </w:tc>
        <w:tc>
          <w:tcPr>
            <w:tcW w:w="63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10 </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230,230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246,100</w:t>
            </w:r>
          </w:p>
        </w:tc>
        <w:tc>
          <w:tcPr>
            <w:tcW w:w="108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2.14</w:t>
            </w:r>
          </w:p>
        </w:tc>
        <w:tc>
          <w:tcPr>
            <w:tcW w:w="900" w:type="dxa"/>
            <w:tcBorders>
              <w:top w:val="single" w:sz="8" w:space="0" w:color="auto"/>
              <w:left w:val="single" w:sz="8"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2.14</w:t>
            </w:r>
          </w:p>
        </w:tc>
        <w:tc>
          <w:tcPr>
            <w:tcW w:w="117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246,100</w:t>
            </w:r>
          </w:p>
        </w:tc>
      </w:tr>
      <w:tr w:rsidR="00F1207E" w:rsidTr="00F1207E">
        <w:tc>
          <w:tcPr>
            <w:tcW w:w="1710" w:type="dxa"/>
            <w:tcBorders>
              <w:top w:val="single" w:sz="8"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AM Class A</w:t>
            </w:r>
            <w:r>
              <w:rPr>
                <w:sz w:val="20"/>
                <w:vertAlign w:val="superscript"/>
              </w:rPr>
              <w:t>4a</w:t>
            </w:r>
          </w:p>
        </w:tc>
        <w:tc>
          <w:tcPr>
            <w:tcW w:w="1350" w:type="dxa"/>
            <w:tcBorders>
              <w:top w:val="single" w:sz="8"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67</w:t>
            </w:r>
          </w:p>
        </w:tc>
        <w:tc>
          <w:tcPr>
            <w:tcW w:w="630" w:type="dxa"/>
            <w:tcBorders>
              <w:top w:val="single" w:sz="8"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8"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286,000</w:t>
            </w:r>
          </w:p>
        </w:tc>
        <w:tc>
          <w:tcPr>
            <w:tcW w:w="1080" w:type="dxa"/>
            <w:tcBorders>
              <w:top w:val="single" w:sz="8"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274,700</w:t>
            </w:r>
          </w:p>
        </w:tc>
        <w:tc>
          <w:tcPr>
            <w:tcW w:w="1080" w:type="dxa"/>
            <w:tcBorders>
              <w:top w:val="single" w:sz="8"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4,105</w:t>
            </w:r>
          </w:p>
        </w:tc>
        <w:tc>
          <w:tcPr>
            <w:tcW w:w="900" w:type="dxa"/>
            <w:tcBorders>
              <w:top w:val="single" w:sz="8"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4,100</w:t>
            </w:r>
          </w:p>
        </w:tc>
        <w:tc>
          <w:tcPr>
            <w:tcW w:w="1170" w:type="dxa"/>
            <w:tcBorders>
              <w:top w:val="single" w:sz="8"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274,700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AM Class B</w:t>
            </w:r>
            <w:r>
              <w:rPr>
                <w:sz w:val="20"/>
                <w:vertAlign w:val="superscript"/>
              </w:rPr>
              <w:t>4b</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1,481</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3,435,250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3,410,900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2,308</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2,300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3,410,900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AM Class C</w:t>
            </w:r>
            <w:r>
              <w:rPr>
                <w:sz w:val="20"/>
                <w:vertAlign w:val="superscript"/>
              </w:rPr>
              <w:t>4c</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832</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1,201,500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1,212,750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1,385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1,375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1,212,750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AM Class D</w:t>
            </w:r>
            <w:r>
              <w:rPr>
                <w:sz w:val="20"/>
                <w:vertAlign w:val="superscript"/>
              </w:rPr>
              <w:t>4d</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1,522</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3,862,500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4,033,300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2,661</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2,650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4,033,300</w:t>
            </w:r>
          </w:p>
        </w:tc>
      </w:tr>
      <w:tr w:rsidR="00F1207E" w:rsidTr="00F1207E">
        <w:tc>
          <w:tcPr>
            <w:tcW w:w="1710" w:type="dxa"/>
            <w:tcBorders>
              <w:top w:val="single" w:sz="6" w:space="0" w:color="auto"/>
              <w:left w:val="double" w:sz="6" w:space="0" w:color="auto"/>
            </w:tcBorders>
          </w:tcPr>
          <w:p w:rsidR="00F1207E" w:rsidRPr="00445C3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lang w:val="pt-BR"/>
              </w:rPr>
            </w:pPr>
            <w:r w:rsidRPr="00445C3B">
              <w:rPr>
                <w:sz w:val="20"/>
                <w:lang w:val="pt-BR"/>
              </w:rPr>
              <w:t>FM Classes A, B1 &amp; C3</w:t>
            </w:r>
            <w:r w:rsidRPr="00445C3B">
              <w:rPr>
                <w:sz w:val="20"/>
                <w:vertAlign w:val="superscript"/>
                <w:lang w:val="pt-BR"/>
              </w:rPr>
              <w:t>4e</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3,107</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8,379,375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8,466,575</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2,731</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2,725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8,466,575</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FM Classes B, C, C0, C1 &amp; C2</w:t>
            </w:r>
            <w:r>
              <w:rPr>
                <w:sz w:val="20"/>
                <w:vertAlign w:val="superscript"/>
              </w:rPr>
              <w:t>4f</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3,139</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10,597,500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10,437,175</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3,316</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3,325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10,437,175</w:t>
            </w:r>
          </w:p>
        </w:tc>
      </w:tr>
      <w:tr w:rsidR="00F1207E" w:rsidTr="00F1207E">
        <w:trPr>
          <w:trHeight w:val="534"/>
        </w:trPr>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AM Construction Permits</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30,090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17,700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590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590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17,700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FM Construction Permits</w:t>
            </w:r>
            <w:r>
              <w:rPr>
                <w:sz w:val="20"/>
                <w:vertAlign w:val="superscript"/>
              </w:rPr>
              <w:t>1</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185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142,500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138,750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750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138,750</w:t>
            </w:r>
          </w:p>
        </w:tc>
      </w:tr>
      <w:tr w:rsidR="00F1207E" w:rsidTr="00F1207E">
        <w:trPr>
          <w:trHeight w:val="444"/>
        </w:trPr>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Satellite TV</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127</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190,625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196,850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1,545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196,850</w:t>
            </w:r>
          </w:p>
        </w:tc>
      </w:tr>
      <w:tr w:rsidR="00F1207E" w:rsidTr="00F1207E">
        <w:trPr>
          <w:trHeight w:val="606"/>
        </w:trPr>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Satellite TV Construction Permit</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2,880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3,900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1,308</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1,025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3,900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Digital TV Markets 1-10</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138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6,235,725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6,161,700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44,661</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44,650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6,161,700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Digital TV Markets 11-25</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138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5,636,875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5,809,800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42,102</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42,100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5,809,800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Digital TV Markets 26-50</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182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4,965,225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4,909,450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26,964</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26,975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4,909,450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Digital TV Markets 51-100</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290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4,645,275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4,524,000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15,604</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15,600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4,524,000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lastRenderedPageBreak/>
              <w:t xml:space="preserve">Digital TV  Remaining Markets </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380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1,769,975</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1,805,000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4,751</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4,750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1,805,000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Digital TV Construction Permits</w:t>
            </w:r>
            <w:r>
              <w:rPr>
                <w:sz w:val="20"/>
                <w:vertAlign w:val="superscript"/>
              </w:rPr>
              <w:t>1</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5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20,950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23,750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4,750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4,750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23,750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Broadcast Auxiliaries</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25,800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254,000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258,000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258,000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LPTV/Translators/ Boosters/Class A TV</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3,830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1,527,250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1,570,300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410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410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1,570,300</w:t>
            </w:r>
          </w:p>
        </w:tc>
      </w:tr>
      <w:tr w:rsidR="00F1207E" w:rsidTr="00F1207E">
        <w:tc>
          <w:tcPr>
            <w:tcW w:w="1710" w:type="dxa"/>
            <w:tcBorders>
              <w:top w:val="single" w:sz="6" w:space="0" w:color="auto"/>
              <w:left w:val="double" w:sz="6" w:space="0" w:color="auto"/>
            </w:tcBorders>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CARS Stations</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325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165,750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196,625</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604</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605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196,625</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 xml:space="preserve">Cable TV Systems, including IPTV </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65,400,000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20"/>
              </w:rPr>
              <w:t>61,200,000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64,746,000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.993</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.99</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64,746,000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Interstate Telecommunication Service Providers</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18"/>
                <w:szCs w:val="18"/>
              </w:rPr>
              <w:t xml:space="preserve">$38,300,000,000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20"/>
              </w:rPr>
              <w:t>135,330,000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131,369,000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0.003425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0.00343</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131,369,000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CMRS Mobile Services (Cellular/Public Mobile)</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18"/>
                <w:szCs w:val="18"/>
              </w:rPr>
              <w:t xml:space="preserve">335,000,000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20"/>
              </w:rPr>
              <w:t>58,680,000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60,300,000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0.179</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0.18</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60,300,000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CMRS Messag. Services</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2,900,000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240,000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232,000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0.0800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0.080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232,000</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BRS</w:t>
            </w:r>
            <w:r>
              <w:rPr>
                <w:sz w:val="20"/>
                <w:vertAlign w:val="superscript"/>
              </w:rPr>
              <w:t>2</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 xml:space="preserve">LMDS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190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469,200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86,700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643,500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135,850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715</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715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715</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715</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643,500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135,850</w:t>
            </w:r>
          </w:p>
        </w:tc>
      </w:tr>
      <w:tr w:rsidR="00F1207E" w:rsidTr="00F1207E">
        <w:tc>
          <w:tcPr>
            <w:tcW w:w="1710" w:type="dxa"/>
            <w:tcBorders>
              <w:top w:val="single" w:sz="6" w:space="0" w:color="auto"/>
              <w:left w:val="double" w:sz="6" w:space="0" w:color="auto"/>
            </w:tcBorders>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 xml:space="preserve">Per 64 kbps Int’l Bearer Circuits </w:t>
            </w:r>
            <w:r>
              <w:rPr>
                <w:sz w:val="20"/>
                <w:vertAlign w:val="superscript"/>
              </w:rPr>
              <w:t>6a</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18"/>
                <w:szCs w:val="18"/>
              </w:rPr>
            </w:pPr>
            <w:r>
              <w:rPr>
                <w:sz w:val="18"/>
                <w:szCs w:val="18"/>
              </w:rPr>
              <w:t xml:space="preserve">Terrestrial (Common) &amp; Satellite (Common &amp; Non-Common) </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4,484,000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1,032,277</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932,351</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.2079</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.21</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941,640</w:t>
            </w:r>
          </w:p>
        </w:tc>
      </w:tr>
      <w:tr w:rsidR="00F1207E" w:rsidTr="00F1207E">
        <w:tc>
          <w:tcPr>
            <w:tcW w:w="1710" w:type="dxa"/>
            <w:tcBorders>
              <w:top w:val="single" w:sz="6" w:space="0" w:color="auto"/>
              <w:left w:val="double" w:sz="6" w:space="0" w:color="auto"/>
            </w:tcBorders>
          </w:tcPr>
          <w:p w:rsidR="00F1207E" w:rsidRPr="0057180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Submarine Cable Providers (see chart in Appendix C)</w:t>
            </w:r>
            <w:r>
              <w:rPr>
                <w:sz w:val="20"/>
                <w:vertAlign w:val="superscript"/>
              </w:rPr>
              <w:t>3,6b</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40.19</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8,530,139</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6,586,607</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163,897</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163,900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6,586,731</w:t>
            </w:r>
          </w:p>
        </w:tc>
      </w:tr>
      <w:tr w:rsidR="00F1207E" w:rsidTr="00F1207E">
        <w:trPr>
          <w:trHeight w:val="370"/>
        </w:trPr>
        <w:tc>
          <w:tcPr>
            <w:tcW w:w="1710" w:type="dxa"/>
            <w:tcBorders>
              <w:top w:val="single" w:sz="6" w:space="0" w:color="auto"/>
              <w:left w:val="double" w:sz="6" w:space="0" w:color="auto"/>
            </w:tcBorders>
          </w:tcPr>
          <w:p w:rsidR="00F1207E" w:rsidRPr="00A869B5"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vertAlign w:val="superscript"/>
              </w:rPr>
            </w:pPr>
            <w:r>
              <w:rPr>
                <w:sz w:val="20"/>
              </w:rPr>
              <w:t>Earth Stations</w:t>
            </w:r>
            <w:r>
              <w:rPr>
                <w:sz w:val="20"/>
                <w:vertAlign w:val="superscript"/>
              </w:rPr>
              <w:t>6c</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 xml:space="preserve">3,400 </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935,000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1,003,000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303</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295</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1,003,000</w:t>
            </w:r>
          </w:p>
        </w:tc>
      </w:tr>
      <w:tr w:rsidR="00F1207E" w:rsidTr="00F1207E">
        <w:trPr>
          <w:trHeight w:val="595"/>
        </w:trPr>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Space Stations (Geostationary)</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94</w:t>
            </w: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1 </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12,101,700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11,505,600</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122,402</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122,400</w:t>
            </w:r>
          </w:p>
        </w:tc>
        <w:tc>
          <w:tcPr>
            <w:tcW w:w="117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11,505,600</w:t>
            </w:r>
          </w:p>
        </w:tc>
      </w:tr>
      <w:tr w:rsidR="00F1207E" w:rsidTr="00F1207E">
        <w:trPr>
          <w:trHeight w:val="874"/>
        </w:trPr>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Space Stations (Non-Geostationary</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1</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center"/>
              <w:rPr>
                <w:sz w:val="20"/>
              </w:rPr>
            </w:pPr>
            <w:r>
              <w:rPr>
                <w:sz w:val="20"/>
              </w:rPr>
              <w:t xml:space="preserve"> </w:t>
            </w:r>
          </w:p>
        </w:tc>
        <w:tc>
          <w:tcPr>
            <w:tcW w:w="1080" w:type="dxa"/>
            <w:tcBorders>
              <w:top w:val="single" w:sz="2" w:space="0" w:color="auto"/>
              <w:left w:val="single" w:sz="2" w:space="0" w:color="auto"/>
              <w:bottom w:val="double" w:sz="4" w:space="0" w:color="auto"/>
              <w:right w:val="single" w:sz="2"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899,250</w:t>
            </w:r>
          </w:p>
        </w:tc>
        <w:tc>
          <w:tcPr>
            <w:tcW w:w="1080" w:type="dxa"/>
            <w:tcBorders>
              <w:top w:val="single" w:sz="2" w:space="0" w:color="auto"/>
              <w:left w:val="nil"/>
              <w:bottom w:val="double" w:sz="4" w:space="0" w:color="auto"/>
              <w:right w:val="single" w:sz="2"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797,100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080" w:type="dxa"/>
            <w:tcBorders>
              <w:top w:val="single" w:sz="6" w:space="0" w:color="auto"/>
              <w:left w:val="nil"/>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132,850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132,850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170" w:type="dxa"/>
            <w:tcBorders>
              <w:top w:val="single" w:sz="2" w:space="0" w:color="auto"/>
              <w:left w:val="single" w:sz="2" w:space="0" w:color="auto"/>
              <w:bottom w:val="double" w:sz="2" w:space="0" w:color="auto"/>
              <w:right w:val="double" w:sz="2"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797,100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  Total Estimated Revenue to be Collected</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080" w:type="dxa"/>
            <w:tcBorders>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18"/>
                <w:szCs w:val="18"/>
              </w:rPr>
            </w:pPr>
            <w:r>
              <w:rPr>
                <w:sz w:val="20"/>
              </w:rPr>
              <w:t>339,965,741</w:t>
            </w:r>
          </w:p>
        </w:tc>
        <w:tc>
          <w:tcPr>
            <w:tcW w:w="1080" w:type="dxa"/>
            <w:tcBorders>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339,837,833</w:t>
            </w:r>
          </w:p>
        </w:tc>
        <w:tc>
          <w:tcPr>
            <w:tcW w:w="1080" w:type="dxa"/>
            <w:tcBorders>
              <w:top w:val="single" w:sz="6" w:space="0" w:color="auto"/>
              <w:left w:val="sing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170" w:type="dxa"/>
            <w:tcBorders>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339,847,246</w:t>
            </w:r>
          </w:p>
        </w:tc>
      </w:tr>
      <w:tr w:rsidR="00F1207E" w:rsidTr="00F1207E">
        <w:tc>
          <w:tcPr>
            <w:tcW w:w="171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t xml:space="preserve">******  Total Revenue </w:t>
            </w:r>
            <w:r>
              <w:rPr>
                <w:sz w:val="20"/>
              </w:rPr>
              <w:lastRenderedPageBreak/>
              <w:t>Requirement</w:t>
            </w:r>
          </w:p>
        </w:tc>
        <w:tc>
          <w:tcPr>
            <w:tcW w:w="135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63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339,844,000</w:t>
            </w:r>
          </w:p>
        </w:tc>
        <w:tc>
          <w:tcPr>
            <w:tcW w:w="1080" w:type="dxa"/>
            <w:tcBorders>
              <w:top w:val="single" w:sz="2" w:space="0" w:color="auto"/>
              <w:left w:val="single" w:sz="2" w:space="0" w:color="auto"/>
              <w:bottom w:val="double" w:sz="2" w:space="0" w:color="auto"/>
              <w:right w:val="single" w:sz="2"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339,844,000</w:t>
            </w:r>
          </w:p>
        </w:tc>
        <w:tc>
          <w:tcPr>
            <w:tcW w:w="1080" w:type="dxa"/>
            <w:tcBorders>
              <w:top w:val="single" w:sz="6" w:space="0" w:color="auto"/>
              <w:left w:val="nil"/>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170" w:type="dxa"/>
            <w:tcBorders>
              <w:top w:val="single" w:sz="2" w:space="0" w:color="auto"/>
              <w:left w:val="single" w:sz="2" w:space="0" w:color="auto"/>
              <w:bottom w:val="double" w:sz="2" w:space="0" w:color="auto"/>
              <w:right w:val="double" w:sz="2"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339,844,000</w:t>
            </w:r>
          </w:p>
        </w:tc>
      </w:tr>
      <w:tr w:rsidR="00F1207E" w:rsidTr="00F1207E">
        <w:tc>
          <w:tcPr>
            <w:tcW w:w="1710" w:type="dxa"/>
            <w:tcBorders>
              <w:top w:val="single" w:sz="6" w:space="0" w:color="auto"/>
              <w:left w:val="doub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rPr>
                <w:sz w:val="20"/>
              </w:rPr>
            </w:pPr>
            <w:r>
              <w:rPr>
                <w:sz w:val="20"/>
              </w:rPr>
              <w:lastRenderedPageBreak/>
              <w:t xml:space="preserve">                   Difference</w:t>
            </w:r>
          </w:p>
        </w:tc>
        <w:tc>
          <w:tcPr>
            <w:tcW w:w="135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63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08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121,741</w:t>
            </w:r>
          </w:p>
        </w:tc>
        <w:tc>
          <w:tcPr>
            <w:tcW w:w="1080" w:type="dxa"/>
            <w:tcBorders>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(6,167)</w:t>
            </w:r>
          </w:p>
        </w:tc>
        <w:tc>
          <w:tcPr>
            <w:tcW w:w="1080" w:type="dxa"/>
            <w:tcBorders>
              <w:top w:val="single" w:sz="6" w:space="0" w:color="auto"/>
              <w:left w:val="single" w:sz="6" w:space="0" w:color="auto"/>
              <w:bottom w:val="double" w:sz="6" w:space="0" w:color="auto"/>
              <w:righ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90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p>
        </w:tc>
        <w:tc>
          <w:tcPr>
            <w:tcW w:w="1170" w:type="dxa"/>
            <w:tcBorders>
              <w:left w:val="single" w:sz="6" w:space="0" w:color="auto"/>
              <w:bottom w:val="doub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48"/>
              <w:jc w:val="right"/>
              <w:rPr>
                <w:sz w:val="20"/>
              </w:rPr>
            </w:pPr>
            <w:r>
              <w:rPr>
                <w:sz w:val="20"/>
              </w:rPr>
              <w:t>3,246</w:t>
            </w:r>
          </w:p>
        </w:tc>
      </w:tr>
    </w:tbl>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z w:val="20"/>
        </w:rPr>
      </w:pPr>
      <w:r>
        <w:rPr>
          <w:sz w:val="20"/>
        </w:rPr>
        <w:t xml:space="preserve">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1080"/>
        <w:rPr>
          <w:sz w:val="20"/>
        </w:rPr>
      </w:pPr>
    </w:p>
    <w:p w:rsidR="00CC1385" w:rsidRPr="00CC1385" w:rsidRDefault="00376337"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u w:val="single"/>
        </w:rPr>
      </w:pPr>
      <w:r>
        <w:rPr>
          <w:sz w:val="20"/>
          <w:u w:val="single"/>
        </w:rPr>
        <w:t xml:space="preserve">Notes on </w:t>
      </w:r>
      <w:r w:rsidR="0090094D">
        <w:rPr>
          <w:sz w:val="20"/>
          <w:u w:val="single"/>
        </w:rPr>
        <w:t xml:space="preserve">Appendix </w:t>
      </w:r>
      <w:r w:rsidR="00CC1385" w:rsidRPr="00CC1385">
        <w:rPr>
          <w:sz w:val="20"/>
          <w:u w:val="single"/>
        </w:rPr>
        <w:t>B</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vertAlign w:val="superscript"/>
        </w:rPr>
      </w:pPr>
      <w:r>
        <w:rPr>
          <w:sz w:val="20"/>
          <w:vertAlign w:val="superscript"/>
        </w:rPr>
        <w:t>1</w:t>
      </w:r>
      <w:r>
        <w:rPr>
          <w:sz w:val="20"/>
        </w:rPr>
        <w:t xml:space="preserve"> The AM and FM Construction Permit revenues and the Digital (VHF/UHF) Construction Permit revenues were adjusted to set the regulatory fee to an amount no higher than the lowest licensed fee for that class of service.  The reductions in the AM and FM Construction Permit revenues are offset by increases in the revenue totals for AM and FM radio stations, respectively.  Similarly, reductions in the Digital (VHF/UHF) Construction Permit revenues are offset by increases in the revenue totals for various Digital television stations by market size, respectively.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rPr>
      </w:pPr>
      <w:r>
        <w:rPr>
          <w:sz w:val="20"/>
          <w:vertAlign w:val="superscript"/>
        </w:rPr>
        <w:t>2</w:t>
      </w:r>
      <w:r>
        <w:rPr>
          <w:sz w:val="20"/>
        </w:rPr>
        <w:t xml:space="preserve"> MDS/MMDS category was renamed Broadband Radio Service (BRS).  </w:t>
      </w:r>
      <w:r>
        <w:rPr>
          <w:i/>
          <w:sz w:val="20"/>
        </w:rPr>
        <w:t xml:space="preserve"> See Amendment of Parts 1, 21, 73, 74 and 101 of the Commission’s Rules to Facilitate the Provision of Fixed and Mobile Broadband  Access, Educational and Other Advanced Services in the 2150-2162 and 2500-2690 MHz Bands</w:t>
      </w:r>
      <w:r>
        <w:rPr>
          <w:sz w:val="20"/>
        </w:rPr>
        <w:t xml:space="preserve">, Report &amp; Order and Further Notice of Proposed Rulemaking, 19 FCC Rcd 14165, 14169, </w:t>
      </w:r>
      <w:r w:rsidR="0067780B">
        <w:rPr>
          <w:sz w:val="20"/>
        </w:rPr>
        <w:t>para.</w:t>
      </w:r>
      <w:r>
        <w:rPr>
          <w:sz w:val="20"/>
        </w:rPr>
        <w:t xml:space="preserve"> 6 (2004).</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rPr>
      </w:pPr>
      <w:r>
        <w:rPr>
          <w:sz w:val="20"/>
          <w:vertAlign w:val="superscript"/>
        </w:rPr>
        <w:t>3</w:t>
      </w:r>
      <w:r>
        <w:rPr>
          <w:sz w:val="20"/>
        </w:rPr>
        <w:t xml:space="preserve"> The chart at the end of Appendix C lists the submarine cable bearer circuit regulatory fees (common and non-common carrier basis) that resulted from the adoption</w:t>
      </w:r>
      <w:r w:rsidR="0091005E">
        <w:rPr>
          <w:sz w:val="20"/>
        </w:rPr>
        <w:t xml:space="preserve"> of the </w:t>
      </w:r>
      <w:r w:rsidR="0091005E" w:rsidRPr="00FD4A9B">
        <w:rPr>
          <w:i/>
          <w:sz w:val="20"/>
        </w:rPr>
        <w:t>FY</w:t>
      </w:r>
      <w:r w:rsidR="0091005E">
        <w:rPr>
          <w:i/>
          <w:sz w:val="20"/>
        </w:rPr>
        <w:t xml:space="preserve"> </w:t>
      </w:r>
      <w:r w:rsidR="0091005E" w:rsidRPr="00FD4A9B">
        <w:rPr>
          <w:i/>
          <w:sz w:val="20"/>
        </w:rPr>
        <w:t>2008 Further Notice</w:t>
      </w:r>
      <w:r w:rsidR="0091005E">
        <w:rPr>
          <w:sz w:val="20"/>
        </w:rPr>
        <w:t xml:space="preserve">, 24 FCC Rcd 6388 and the </w:t>
      </w:r>
      <w:r w:rsidR="0091005E" w:rsidRPr="00FD4A9B">
        <w:rPr>
          <w:i/>
          <w:sz w:val="20"/>
        </w:rPr>
        <w:t>Submarine Cable Order</w:t>
      </w:r>
      <w:r w:rsidR="0091005E">
        <w:rPr>
          <w:sz w:val="20"/>
        </w:rPr>
        <w:t>, 24 FCC Rcd 4208</w:t>
      </w:r>
      <w:r>
        <w:rPr>
          <w:sz w:val="20"/>
        </w:rPr>
        <w:t>.</w:t>
      </w:r>
    </w:p>
    <w:p w:rsidR="00F1207E" w:rsidRPr="00A93FE4"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rPr>
      </w:pPr>
      <w:r>
        <w:rPr>
          <w:sz w:val="20"/>
          <w:vertAlign w:val="superscript"/>
        </w:rPr>
        <w:t>4</w:t>
      </w:r>
      <w:r>
        <w:rPr>
          <w:sz w:val="20"/>
        </w:rPr>
        <w:t xml:space="preserve"> The fee amounts listed in the column entitled “Rounded New FY 2014 Regulatory Fee” constitute a weighted average media regulatory fee by class of service.  The actual FY 2014 regulatory fees for AM/FM radio station are listed on a grid </w:t>
      </w:r>
      <w:r w:rsidR="0090094D">
        <w:rPr>
          <w:sz w:val="20"/>
        </w:rPr>
        <w:t>located at the end of Appendix</w:t>
      </w:r>
      <w:r>
        <w:rPr>
          <w:sz w:val="20"/>
        </w:rPr>
        <w:t xml:space="preserve"> C.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20"/>
        <w:rPr>
          <w:sz w:val="20"/>
        </w:rPr>
      </w:pPr>
      <w:r>
        <w:rPr>
          <w:sz w:val="20"/>
          <w:vertAlign w:val="superscript"/>
        </w:rPr>
        <w:t>5</w:t>
      </w:r>
      <w:r>
        <w:rPr>
          <w:sz w:val="20"/>
        </w:rPr>
        <w:t xml:space="preserve"> As </w:t>
      </w:r>
      <w:r w:rsidRPr="00A869B5">
        <w:rPr>
          <w:sz w:val="20"/>
        </w:rPr>
        <w:t>a continuation of our regulatory fee reform</w:t>
      </w:r>
      <w:r>
        <w:rPr>
          <w:sz w:val="20"/>
        </w:rPr>
        <w:t xml:space="preserve"> for the submarine cable and bearer circuit fee categories, the allocation percentage for these two categories, in relation to the satellite (GSO and NGSO) and earth station fee categories, was reduced by approximately 5 per cent.  This allocation reduction of 5 per cent resulted in an increase in the allocation for the satellite and earth station fee categories.  However, only the earth station fee rate increased from its FY 2013 fee amount.   </w:t>
      </w:r>
    </w:p>
    <w:p w:rsidR="00F1207E" w:rsidRDefault="00F1207E" w:rsidP="00F1207E">
      <w:pPr>
        <w:autoSpaceDE w:val="0"/>
        <w:autoSpaceDN w:val="0"/>
        <w:adjustRightInd w:val="0"/>
        <w:jc w:val="center"/>
        <w:rPr>
          <w:b/>
        </w:rPr>
      </w:pPr>
      <w:r>
        <w:rPr>
          <w:b/>
        </w:rPr>
        <w:br w:type="page"/>
      </w:r>
      <w:r w:rsidR="005261EC">
        <w:rPr>
          <w:b/>
        </w:rPr>
        <w:lastRenderedPageBreak/>
        <w:t>APPENDIX</w:t>
      </w:r>
      <w:r>
        <w:rPr>
          <w:b/>
        </w:rPr>
        <w:t xml:space="preserve"> C</w:t>
      </w:r>
    </w:p>
    <w:p w:rsidR="00F1207E" w:rsidRDefault="00F1207E" w:rsidP="00F1207E">
      <w:pPr>
        <w:jc w:val="center"/>
        <w:rPr>
          <w:b/>
        </w:rPr>
      </w:pPr>
    </w:p>
    <w:p w:rsidR="00F1207E" w:rsidRDefault="00F1207E" w:rsidP="00F1207E">
      <w:pPr>
        <w:jc w:val="center"/>
        <w:rPr>
          <w:b/>
        </w:rPr>
      </w:pPr>
      <w:r>
        <w:rPr>
          <w:b/>
        </w:rPr>
        <w:t>FY 2014 Schedule of Regulatory Fees</w:t>
      </w:r>
    </w:p>
    <w:p w:rsidR="00F1207E" w:rsidRDefault="00F1207E" w:rsidP="00F1207E">
      <w:pPr>
        <w:jc w:val="center"/>
        <w:rPr>
          <w:b/>
        </w:rPr>
      </w:pPr>
    </w:p>
    <w:p w:rsidR="00F1207E" w:rsidRDefault="00F1207E" w:rsidP="00F1207E">
      <w:pPr>
        <w:tabs>
          <w:tab w:val="center" w:pos="5040"/>
        </w:tabs>
        <w:suppressAutoHyphens/>
        <w:outlineLvl w:val="0"/>
        <w:rPr>
          <w:szCs w:val="22"/>
        </w:rPr>
      </w:pPr>
      <w:bookmarkStart w:id="283" w:name="_Toc394672330"/>
      <w:r>
        <w:rPr>
          <w:szCs w:val="22"/>
        </w:rPr>
        <w:t>Regulatory fees for the categories shaded in gray are collected by the Commission in advance to cover the term of the license and are submitted at the time the application is filed.</w:t>
      </w:r>
      <w:bookmarkEnd w:id="283"/>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1440" w:hanging="1440"/>
        <w:rPr>
          <w:sz w:val="20"/>
        </w:rPr>
      </w:pPr>
      <w:r>
        <w:rPr>
          <w:sz w:val="20"/>
        </w:rPr>
        <w:tab/>
      </w:r>
      <w:r>
        <w:rPr>
          <w:sz w:val="20"/>
        </w:rPr>
        <w:tab/>
      </w:r>
      <w:r>
        <w:rPr>
          <w:sz w:val="20"/>
        </w:rPr>
        <w:tab/>
      </w:r>
    </w:p>
    <w:tbl>
      <w:tblPr>
        <w:tblW w:w="8550" w:type="dxa"/>
        <w:tblInd w:w="210" w:type="dxa"/>
        <w:tblLayout w:type="fixed"/>
        <w:tblCellMar>
          <w:left w:w="120" w:type="dxa"/>
          <w:right w:w="120" w:type="dxa"/>
        </w:tblCellMar>
        <w:tblLook w:val="0000"/>
      </w:tblPr>
      <w:tblGrid>
        <w:gridCol w:w="6840"/>
        <w:gridCol w:w="1710"/>
      </w:tblGrid>
      <w:tr w:rsidR="00F1207E" w:rsidTr="00F1207E">
        <w:trPr>
          <w:tblHeader/>
        </w:trPr>
        <w:tc>
          <w:tcPr>
            <w:tcW w:w="6840" w:type="dxa"/>
            <w:tcBorders>
              <w:top w:val="double" w:sz="6" w:space="0" w:color="auto"/>
              <w:left w:val="double" w:sz="6" w:space="0" w:color="auto"/>
              <w:bottom w:val="single" w:sz="8" w:space="0" w:color="auto"/>
            </w:tcBorders>
          </w:tcPr>
          <w:p w:rsidR="00F1207E" w:rsidRDefault="001A7F66"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sz w:val="20"/>
              </w:rPr>
            </w:pPr>
            <w:r>
              <w:rPr>
                <w:sz w:val="20"/>
              </w:rPr>
              <w:fldChar w:fldCharType="begin"/>
            </w:r>
            <w:r w:rsidR="00F1207E">
              <w:rPr>
                <w:sz w:val="20"/>
              </w:rPr>
              <w:instrText xml:space="preserve">PRIVATE </w:instrText>
            </w:r>
            <w:r>
              <w:rPr>
                <w:sz w:val="20"/>
              </w:rPr>
              <w:fldChar w:fldCharType="end"/>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Fee Category</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54"/>
              <w:rPr>
                <w:b/>
                <w:sz w:val="20"/>
              </w:rPr>
            </w:pPr>
          </w:p>
        </w:tc>
        <w:tc>
          <w:tcPr>
            <w:tcW w:w="1710" w:type="dxa"/>
            <w:tcBorders>
              <w:top w:val="double" w:sz="6" w:space="0" w:color="auto"/>
              <w:left w:val="single" w:sz="6" w:space="0" w:color="auto"/>
              <w:bottom w:val="single" w:sz="8"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b/>
                <w:sz w:val="20"/>
              </w:rPr>
            </w:pPr>
            <w:r>
              <w:rPr>
                <w:b/>
                <w:sz w:val="20"/>
              </w:rPr>
              <w:t>Annual Regulatory Fee</w:t>
            </w:r>
          </w:p>
          <w:p w:rsidR="00F1207E" w:rsidRDefault="00F1207E" w:rsidP="00F1207E">
            <w:pPr>
              <w:tabs>
                <w:tab w:val="center" w:pos="850"/>
              </w:tabs>
              <w:suppressAutoHyphens/>
              <w:spacing w:after="54"/>
              <w:jc w:val="center"/>
              <w:rPr>
                <w:b/>
                <w:sz w:val="20"/>
              </w:rPr>
            </w:pPr>
            <w:r>
              <w:rPr>
                <w:b/>
                <w:sz w:val="20"/>
              </w:rPr>
              <w:t>(U.S. $'s)</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ind w:left="4680" w:hanging="4680"/>
              <w:rPr>
                <w:sz w:val="20"/>
              </w:rPr>
            </w:pPr>
            <w:r>
              <w:rPr>
                <w:sz w:val="20"/>
              </w:rPr>
              <w:t>PLMRS (per license) (Exclusive Use) (47 CFR part 90)</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 w:val="20"/>
              </w:rPr>
            </w:pPr>
            <w:r>
              <w:rPr>
                <w:sz w:val="20"/>
              </w:rPr>
              <w:t>35</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right" w:pos="3461"/>
                <w:tab w:val="left" w:pos="3600"/>
              </w:tabs>
              <w:suppressAutoHyphens/>
              <w:spacing w:before="90" w:after="54"/>
              <w:ind w:left="4320" w:hanging="4320"/>
              <w:rPr>
                <w:sz w:val="20"/>
              </w:rPr>
            </w:pPr>
            <w:r>
              <w:rPr>
                <w:sz w:val="20"/>
              </w:rPr>
              <w:t>Microwave (per license) (47 CFR part 101)</w:t>
            </w:r>
            <w:r>
              <w:rPr>
                <w:sz w:val="20"/>
              </w:rPr>
              <w:tab/>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 w:val="20"/>
              </w:rPr>
            </w:pPr>
            <w:r>
              <w:rPr>
                <w:sz w:val="20"/>
              </w:rPr>
              <w:t>15</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right" w:pos="3461"/>
                <w:tab w:val="left" w:pos="3600"/>
              </w:tabs>
              <w:suppressAutoHyphens/>
              <w:spacing w:before="90" w:after="54"/>
              <w:rPr>
                <w:sz w:val="20"/>
              </w:rPr>
            </w:pPr>
            <w:r>
              <w:rPr>
                <w:sz w:val="20"/>
              </w:rPr>
              <w:t>218-219 MHz (Formerly Interactive Video Data Service) (per license) (47 CFR part 95)</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80</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Marine (Ship) (per station) (47 CFR part 80)</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15</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Marine (Coast) (per license) (47 CFR part 80)</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55</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General Mobile Radio Service (per license) (47 CFR part 95)</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5</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Rural Radio (47 CFR part 22) (previously listed under the Land Mobile category)</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10</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PLMRS (Shared Use) (per license) (47 CFR part 90)</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10</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Aviation (Aircraft) (per station) (47 CFR part 87)</w:t>
            </w:r>
            <w:r>
              <w:rPr>
                <w:sz w:val="20"/>
              </w:rPr>
              <w:tab/>
            </w:r>
            <w:r>
              <w:rPr>
                <w:sz w:val="20"/>
              </w:rPr>
              <w:tab/>
            </w:r>
            <w:r>
              <w:rPr>
                <w:sz w:val="20"/>
              </w:rPr>
              <w:tab/>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10</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Aviation (Ground) (per license) (47 CFR part 87)</w:t>
            </w:r>
            <w:r>
              <w:rPr>
                <w:sz w:val="20"/>
              </w:rPr>
              <w:tab/>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30</w:t>
            </w:r>
          </w:p>
        </w:tc>
      </w:tr>
      <w:tr w:rsidR="00F1207E" w:rsidTr="00F1207E">
        <w:tc>
          <w:tcPr>
            <w:tcW w:w="6840" w:type="dxa"/>
            <w:tcBorders>
              <w:top w:val="single" w:sz="8" w:space="0" w:color="auto"/>
              <w:left w:val="double" w:sz="12" w:space="0" w:color="auto"/>
              <w:bottom w:val="single" w:sz="8" w:space="0" w:color="auto"/>
              <w:right w:val="single" w:sz="8" w:space="0" w:color="auto"/>
            </w:tcBorders>
            <w:shd w:val="clear" w:color="auto" w:fill="C0C0C0"/>
          </w:tcPr>
          <w:p w:rsidR="00F1207E" w:rsidRDefault="00F1207E" w:rsidP="00F1207E">
            <w:pPr>
              <w:tabs>
                <w:tab w:val="left" w:pos="-1440"/>
                <w:tab w:val="left" w:pos="-720"/>
              </w:tabs>
              <w:suppressAutoHyphens/>
              <w:spacing w:before="90" w:after="54"/>
              <w:rPr>
                <w:sz w:val="20"/>
              </w:rPr>
            </w:pPr>
            <w:r>
              <w:rPr>
                <w:sz w:val="20"/>
              </w:rPr>
              <w:t xml:space="preserve">Amateur Vanity Call Signs (per call sign) (47 CFR part 97) </w:t>
            </w:r>
          </w:p>
        </w:tc>
        <w:tc>
          <w:tcPr>
            <w:tcW w:w="1710" w:type="dxa"/>
            <w:tcBorders>
              <w:top w:val="single" w:sz="8" w:space="0" w:color="auto"/>
              <w:left w:val="single" w:sz="8" w:space="0" w:color="auto"/>
              <w:bottom w:val="single" w:sz="8" w:space="0" w:color="auto"/>
              <w:right w:val="double" w:sz="12" w:space="0" w:color="auto"/>
            </w:tcBorders>
            <w:shd w:val="clear" w:color="auto" w:fill="C0C0C0"/>
          </w:tcPr>
          <w:p w:rsidR="00F1207E" w:rsidRDefault="00F1207E" w:rsidP="00F1207E">
            <w:pPr>
              <w:tabs>
                <w:tab w:val="left" w:pos="-1440"/>
                <w:tab w:val="left" w:pos="-720"/>
              </w:tabs>
              <w:suppressAutoHyphens/>
              <w:spacing w:before="90" w:after="54"/>
              <w:jc w:val="center"/>
              <w:rPr>
                <w:sz w:val="20"/>
              </w:rPr>
            </w:pPr>
            <w:r>
              <w:rPr>
                <w:sz w:val="20"/>
              </w:rPr>
              <w:t>2.14</w:t>
            </w:r>
          </w:p>
        </w:tc>
      </w:tr>
      <w:tr w:rsidR="00F1207E" w:rsidTr="00F1207E">
        <w:tc>
          <w:tcPr>
            <w:tcW w:w="6840" w:type="dxa"/>
            <w:tcBorders>
              <w:top w:val="single" w:sz="8"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CMRS Mobile/Cellular Services (per unit) (47 CFR parts 20, 22, 24, 27, 80 and 90)</w:t>
            </w:r>
          </w:p>
        </w:tc>
        <w:tc>
          <w:tcPr>
            <w:tcW w:w="1710" w:type="dxa"/>
            <w:tcBorders>
              <w:top w:val="single" w:sz="8"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.18</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CMRS Messaging Services (per unit) (47 CFR parts 20, 22, 24 and 90)</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.08</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Broadband Radio Service (formerly MMDS/ MDS) (per license) (47 CFR part 27)</w:t>
            </w:r>
          </w:p>
          <w:p w:rsidR="00F1207E" w:rsidRDefault="00F1207E" w:rsidP="00F1207E">
            <w:pPr>
              <w:tabs>
                <w:tab w:val="left" w:pos="-1440"/>
                <w:tab w:val="left" w:pos="-720"/>
              </w:tabs>
              <w:suppressAutoHyphens/>
              <w:spacing w:before="90" w:after="54"/>
              <w:rPr>
                <w:sz w:val="20"/>
              </w:rPr>
            </w:pPr>
            <w:r>
              <w:rPr>
                <w:sz w:val="20"/>
              </w:rPr>
              <w:t>Local Multipoint Distribution Service (per call sign) (47 CFR, part 101)</w:t>
            </w:r>
          </w:p>
          <w:p w:rsidR="00F1207E" w:rsidRDefault="00F1207E" w:rsidP="00F1207E">
            <w:pPr>
              <w:tabs>
                <w:tab w:val="left" w:pos="-1440"/>
                <w:tab w:val="left" w:pos="-720"/>
              </w:tabs>
              <w:suppressAutoHyphens/>
              <w:spacing w:before="90" w:after="54"/>
              <w:rPr>
                <w:sz w:val="20"/>
              </w:rPr>
            </w:pP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715</w:t>
            </w:r>
          </w:p>
          <w:p w:rsidR="00F1207E" w:rsidRDefault="00F1207E" w:rsidP="00F1207E">
            <w:pPr>
              <w:tabs>
                <w:tab w:val="left" w:pos="-1440"/>
                <w:tab w:val="left" w:pos="-720"/>
              </w:tabs>
              <w:suppressAutoHyphens/>
              <w:spacing w:before="90" w:after="54"/>
              <w:jc w:val="center"/>
              <w:rPr>
                <w:sz w:val="20"/>
              </w:rPr>
            </w:pPr>
          </w:p>
          <w:p w:rsidR="00F1207E" w:rsidRDefault="00F1207E" w:rsidP="00F1207E">
            <w:pPr>
              <w:tabs>
                <w:tab w:val="left" w:pos="-1440"/>
                <w:tab w:val="left" w:pos="-720"/>
              </w:tabs>
              <w:suppressAutoHyphens/>
              <w:spacing w:before="90" w:after="54"/>
              <w:jc w:val="center"/>
              <w:rPr>
                <w:sz w:val="20"/>
              </w:rPr>
            </w:pPr>
            <w:r>
              <w:rPr>
                <w:sz w:val="20"/>
              </w:rPr>
              <w:t>715</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AM Radio Construction Permits</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590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FM Radio Construction Permits</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750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Digital TV (47 CFR part 73) VHF and UHF Commercial</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right"/>
              <w:rPr>
                <w:sz w:val="20"/>
              </w:rPr>
            </w:pP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s>
              <w:suppressAutoHyphens/>
              <w:spacing w:before="90" w:after="54"/>
              <w:ind w:left="2160" w:hanging="2160"/>
              <w:rPr>
                <w:sz w:val="20"/>
              </w:rPr>
            </w:pPr>
            <w:r>
              <w:rPr>
                <w:sz w:val="20"/>
              </w:rPr>
              <w:tab/>
              <w:t>Markets 1-10</w:t>
            </w:r>
            <w:r>
              <w:rPr>
                <w:sz w:val="20"/>
              </w:rPr>
              <w:tab/>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44,650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s>
              <w:suppressAutoHyphens/>
              <w:spacing w:before="90" w:after="54"/>
              <w:ind w:left="720" w:hanging="720"/>
              <w:rPr>
                <w:sz w:val="20"/>
              </w:rPr>
            </w:pPr>
            <w:r>
              <w:rPr>
                <w:sz w:val="20"/>
              </w:rPr>
              <w:tab/>
              <w:t>Markets 11-25</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42,100</w:t>
            </w:r>
          </w:p>
        </w:tc>
      </w:tr>
      <w:tr w:rsidR="00F1207E" w:rsidTr="00F1207E">
        <w:tc>
          <w:tcPr>
            <w:tcW w:w="6840" w:type="dxa"/>
            <w:tcBorders>
              <w:top w:val="single" w:sz="2" w:space="0" w:color="auto"/>
              <w:left w:val="double" w:sz="2" w:space="0" w:color="auto"/>
              <w:right w:val="single" w:sz="2" w:space="0" w:color="auto"/>
            </w:tcBorders>
          </w:tcPr>
          <w:p w:rsidR="00F1207E" w:rsidRDefault="00F1207E" w:rsidP="00F1207E">
            <w:pPr>
              <w:tabs>
                <w:tab w:val="left" w:pos="-1440"/>
                <w:tab w:val="left" w:pos="-720"/>
                <w:tab w:val="left" w:pos="0"/>
              </w:tabs>
              <w:suppressAutoHyphens/>
              <w:spacing w:before="90" w:after="54"/>
              <w:ind w:left="720" w:hanging="720"/>
              <w:rPr>
                <w:sz w:val="20"/>
              </w:rPr>
            </w:pPr>
            <w:r>
              <w:rPr>
                <w:sz w:val="20"/>
              </w:rPr>
              <w:tab/>
              <w:t>Markets 26-50</w:t>
            </w:r>
          </w:p>
        </w:tc>
        <w:tc>
          <w:tcPr>
            <w:tcW w:w="1710" w:type="dxa"/>
            <w:tcBorders>
              <w:top w:val="single" w:sz="2" w:space="0" w:color="auto"/>
              <w:left w:val="single" w:sz="2" w:space="0" w:color="auto"/>
              <w:right w:val="double" w:sz="2" w:space="0" w:color="auto"/>
            </w:tcBorders>
          </w:tcPr>
          <w:p w:rsidR="00F1207E" w:rsidRDefault="00F1207E" w:rsidP="00F1207E">
            <w:pPr>
              <w:tabs>
                <w:tab w:val="left" w:pos="-1440"/>
                <w:tab w:val="left" w:pos="-720"/>
              </w:tabs>
              <w:suppressAutoHyphens/>
              <w:spacing w:before="90" w:after="54"/>
              <w:jc w:val="center"/>
              <w:rPr>
                <w:sz w:val="20"/>
              </w:rPr>
            </w:pPr>
            <w:r>
              <w:rPr>
                <w:sz w:val="20"/>
              </w:rPr>
              <w:t>26,975</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s>
              <w:suppressAutoHyphens/>
              <w:spacing w:before="90" w:after="54"/>
              <w:ind w:left="2880" w:hanging="2880"/>
              <w:rPr>
                <w:sz w:val="20"/>
              </w:rPr>
            </w:pPr>
            <w:r>
              <w:rPr>
                <w:sz w:val="20"/>
              </w:rPr>
              <w:tab/>
              <w:t>Markets 51-100</w:t>
            </w:r>
            <w:r>
              <w:rPr>
                <w:sz w:val="20"/>
              </w:rPr>
              <w:tab/>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15,600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s>
              <w:suppressAutoHyphens/>
              <w:spacing w:before="90" w:after="54"/>
              <w:ind w:left="720" w:hanging="720"/>
              <w:rPr>
                <w:sz w:val="20"/>
              </w:rPr>
            </w:pPr>
            <w:r>
              <w:rPr>
                <w:sz w:val="20"/>
              </w:rPr>
              <w:tab/>
              <w:t>Remaining Markets</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4,750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s>
              <w:suppressAutoHyphens/>
              <w:spacing w:before="90" w:after="54"/>
              <w:ind w:left="720" w:hanging="720"/>
              <w:rPr>
                <w:sz w:val="20"/>
              </w:rPr>
            </w:pPr>
            <w:r>
              <w:rPr>
                <w:sz w:val="20"/>
              </w:rPr>
              <w:tab/>
              <w:t>Construction Permits</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4,750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 xml:space="preserve">Satellite Television Stations  (All Markets)   </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1,550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lastRenderedPageBreak/>
              <w:t>Construction Permits – Satellite Television Stations</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1,300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Low Power TV, Class A TV, TV/FM Translators &amp; Boosters (47 CFR part 74)</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410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s>
              <w:suppressAutoHyphens/>
              <w:spacing w:before="90" w:after="54"/>
              <w:ind w:left="3600" w:hanging="3600"/>
              <w:rPr>
                <w:sz w:val="20"/>
              </w:rPr>
            </w:pPr>
            <w:r>
              <w:rPr>
                <w:sz w:val="20"/>
              </w:rPr>
              <w:t>Broadcast Auxiliaries (47 CFR part 74)</w:t>
            </w:r>
            <w:r>
              <w:rPr>
                <w:sz w:val="20"/>
              </w:rPr>
              <w:tab/>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CARS (47 CFR part 78)</w:t>
            </w:r>
            <w:r>
              <w:rPr>
                <w:sz w:val="20"/>
              </w:rPr>
              <w:tab/>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605</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Cable Television Systems (per subscriber) (47 CFR part 76), Including IPTV</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.99</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Interstate Telecommunication Service Providers (per revenue dollar)</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.00343</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Earth Stations (47 CFR part 25)</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295</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Space Stations (per operational station in geostationary orbit) (47 CFR part 25) also includes DBS Service (per operational station) (47 CFR part 100)</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jc w:val="center"/>
              <w:rPr>
                <w:sz w:val="20"/>
              </w:rPr>
            </w:pPr>
          </w:p>
          <w:p w:rsidR="00F1207E" w:rsidRDefault="00F1207E" w:rsidP="00F1207E">
            <w:pPr>
              <w:tabs>
                <w:tab w:val="left" w:pos="-1440"/>
                <w:tab w:val="left" w:pos="-720"/>
              </w:tabs>
              <w:suppressAutoHyphens/>
              <w:spacing w:after="54"/>
              <w:jc w:val="center"/>
              <w:rPr>
                <w:sz w:val="20"/>
              </w:rPr>
            </w:pPr>
            <w:r>
              <w:rPr>
                <w:sz w:val="20"/>
              </w:rPr>
              <w:t>122,400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Space Stations (per operational system in non-geostationary orbit) (47 CFR part 25)</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132,850</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s>
              <w:suppressAutoHyphens/>
              <w:spacing w:before="90" w:after="54"/>
              <w:rPr>
                <w:sz w:val="20"/>
              </w:rPr>
            </w:pPr>
            <w:r>
              <w:rPr>
                <w:sz w:val="20"/>
              </w:rPr>
              <w:t>International Bearer Circuits -  Terrestrial/Satellites (per 64KB circuit)</w:t>
            </w:r>
            <w:r>
              <w:rPr>
                <w:sz w:val="20"/>
                <w:vertAlign w:val="superscript"/>
              </w:rPr>
              <w:t xml:space="preserve"> </w:t>
            </w:r>
            <w:r>
              <w:rPr>
                <w:sz w:val="20"/>
              </w:rPr>
              <w:t xml:space="preserve"> </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.21</w:t>
            </w:r>
          </w:p>
        </w:tc>
      </w:tr>
      <w:tr w:rsidR="00F1207E" w:rsidTr="00F1207E">
        <w:tc>
          <w:tcPr>
            <w:tcW w:w="684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 xml:space="preserve">International Bearer Circuits - Submarine Cable </w:t>
            </w:r>
          </w:p>
        </w:tc>
        <w:tc>
          <w:tcPr>
            <w:tcW w:w="1710" w:type="dxa"/>
            <w:tcBorders>
              <w:top w:val="single" w:sz="6" w:space="0" w:color="auto"/>
              <w:left w:val="single" w:sz="6" w:space="0" w:color="auto"/>
              <w:right w:val="double" w:sz="6" w:space="0" w:color="auto"/>
            </w:tcBorders>
          </w:tcPr>
          <w:p w:rsidR="00F1207E" w:rsidRDefault="00F1207E" w:rsidP="00F1207E">
            <w:pPr>
              <w:tabs>
                <w:tab w:val="left" w:pos="-1440"/>
                <w:tab w:val="left" w:pos="-720"/>
              </w:tabs>
              <w:suppressAutoHyphens/>
              <w:spacing w:before="90" w:after="54"/>
              <w:jc w:val="center"/>
              <w:rPr>
                <w:sz w:val="20"/>
              </w:rPr>
            </w:pPr>
            <w:r>
              <w:rPr>
                <w:sz w:val="20"/>
              </w:rPr>
              <w:t>See Table Below</w:t>
            </w:r>
          </w:p>
        </w:tc>
      </w:tr>
      <w:tr w:rsidR="00F1207E" w:rsidTr="00F1207E">
        <w:trPr>
          <w:trHeight w:val="57"/>
        </w:trPr>
        <w:tc>
          <w:tcPr>
            <w:tcW w:w="6840" w:type="dxa"/>
            <w:tcBorders>
              <w:top w:val="single" w:sz="6" w:space="0" w:color="auto"/>
              <w:left w:val="doub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ab/>
            </w:r>
          </w:p>
        </w:tc>
        <w:tc>
          <w:tcPr>
            <w:tcW w:w="1710" w:type="dxa"/>
            <w:tcBorders>
              <w:top w:val="single" w:sz="6" w:space="0" w:color="auto"/>
              <w:left w:val="single" w:sz="6" w:space="0" w:color="auto"/>
              <w:bottom w:val="double" w:sz="6" w:space="0" w:color="auto"/>
              <w:right w:val="double" w:sz="6" w:space="0" w:color="auto"/>
            </w:tcBorders>
          </w:tcPr>
          <w:p w:rsidR="00F1207E" w:rsidRDefault="00F1207E" w:rsidP="00F1207E">
            <w:pPr>
              <w:tabs>
                <w:tab w:val="center" w:pos="850"/>
              </w:tabs>
              <w:suppressAutoHyphens/>
              <w:spacing w:before="90" w:after="54"/>
              <w:jc w:val="center"/>
              <w:rPr>
                <w:sz w:val="20"/>
              </w:rPr>
            </w:pPr>
          </w:p>
        </w:tc>
      </w:tr>
    </w:tbl>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b/>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b/>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outlineLvl w:val="0"/>
        <w:rPr>
          <w:sz w:val="20"/>
        </w:rPr>
      </w:pPr>
      <w:r>
        <w:rPr>
          <w:sz w:val="20"/>
        </w:rPr>
        <w:br w:type="page"/>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rFonts w:ascii="Times New Roman Bold" w:hAnsi="Times New Roman Bold"/>
          <w:b/>
          <w:szCs w:val="22"/>
        </w:rPr>
      </w:pPr>
      <w:bookmarkStart w:id="284" w:name="_Toc394672331"/>
      <w:r>
        <w:rPr>
          <w:b/>
          <w:szCs w:val="22"/>
        </w:rPr>
        <w:lastRenderedPageBreak/>
        <w:t>FY 2014 SCHEDULE OF REGULATORY FEES: Maintain Allocation</w:t>
      </w:r>
      <w:r>
        <w:rPr>
          <w:rFonts w:ascii="Times New Roman Bold" w:hAnsi="Times New Roman Bold"/>
          <w:b/>
          <w:szCs w:val="22"/>
        </w:rPr>
        <w:t xml:space="preserve"> (continued)</w:t>
      </w:r>
      <w:bookmarkEnd w:id="284"/>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450"/>
        <w:rPr>
          <w:b/>
          <w:sz w:val="20"/>
        </w:rPr>
      </w:pPr>
    </w:p>
    <w:tbl>
      <w:tblPr>
        <w:tblW w:w="8550" w:type="dxa"/>
        <w:tblInd w:w="152" w:type="dxa"/>
        <w:tblLayout w:type="fixed"/>
        <w:tblCellMar>
          <w:left w:w="62" w:type="dxa"/>
          <w:right w:w="62" w:type="dxa"/>
        </w:tblCellMar>
        <w:tblLook w:val="0000"/>
      </w:tblPr>
      <w:tblGrid>
        <w:gridCol w:w="1890"/>
        <w:gridCol w:w="1080"/>
        <w:gridCol w:w="990"/>
        <w:gridCol w:w="900"/>
        <w:gridCol w:w="900"/>
        <w:gridCol w:w="1440"/>
        <w:gridCol w:w="1350"/>
      </w:tblGrid>
      <w:tr w:rsidR="00F1207E" w:rsidTr="00F1207E">
        <w:tc>
          <w:tcPr>
            <w:tcW w:w="8550" w:type="dxa"/>
            <w:gridSpan w:val="7"/>
            <w:tcBorders>
              <w:top w:val="double" w:sz="6" w:space="0" w:color="auto"/>
              <w:left w:val="doub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 xml:space="preserve">FY 2014 </w:t>
            </w:r>
            <w:r w:rsidR="001A7F66">
              <w:rPr>
                <w:b/>
                <w:sz w:val="20"/>
              </w:rPr>
              <w:fldChar w:fldCharType="begin"/>
            </w:r>
            <w:r>
              <w:rPr>
                <w:b/>
                <w:sz w:val="20"/>
              </w:rPr>
              <w:instrText xml:space="preserve">PRIVATE </w:instrText>
            </w:r>
            <w:r w:rsidR="001A7F66">
              <w:rPr>
                <w:b/>
                <w:sz w:val="20"/>
              </w:rPr>
              <w:fldChar w:fldCharType="end"/>
            </w:r>
            <w:r>
              <w:rPr>
                <w:b/>
                <w:sz w:val="20"/>
              </w:rPr>
              <w:t>RADIO STATION REGULATORY FEES</w:t>
            </w:r>
          </w:p>
        </w:tc>
      </w:tr>
      <w:tr w:rsidR="00F1207E" w:rsidRPr="00445C3B"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rPr>
            </w:pPr>
            <w:r>
              <w:rPr>
                <w:b/>
                <w:sz w:val="20"/>
              </w:rPr>
              <w:t xml:space="preserve">Population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rPr>
            </w:pPr>
            <w:r>
              <w:rPr>
                <w:b/>
                <w:sz w:val="20"/>
              </w:rPr>
              <w:t>Served</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A</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B</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C</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D</w:t>
            </w:r>
          </w:p>
        </w:tc>
        <w:tc>
          <w:tcPr>
            <w:tcW w:w="1440" w:type="dxa"/>
            <w:tcBorders>
              <w:top w:val="single" w:sz="6" w:space="0" w:color="auto"/>
              <w:left w:val="single" w:sz="6" w:space="0" w:color="auto"/>
            </w:tcBorders>
          </w:tcPr>
          <w:p w:rsidR="00F1207E" w:rsidRPr="00445C3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lang w:val="pt-BR"/>
              </w:rPr>
            </w:pPr>
            <w:r w:rsidRPr="00445C3B">
              <w:rPr>
                <w:b/>
                <w:sz w:val="20"/>
                <w:lang w:val="pt-BR"/>
              </w:rPr>
              <w:t>FM Classes</w:t>
            </w:r>
          </w:p>
          <w:p w:rsidR="00F1207E" w:rsidRPr="00445C3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lang w:val="pt-BR"/>
              </w:rPr>
            </w:pPr>
            <w:r w:rsidRPr="00445C3B">
              <w:rPr>
                <w:b/>
                <w:sz w:val="20"/>
                <w:lang w:val="pt-BR"/>
              </w:rPr>
              <w:t>A, B1 &amp; C3</w:t>
            </w:r>
          </w:p>
        </w:tc>
        <w:tc>
          <w:tcPr>
            <w:tcW w:w="1350" w:type="dxa"/>
            <w:tcBorders>
              <w:top w:val="single" w:sz="6" w:space="0" w:color="auto"/>
              <w:left w:val="single" w:sz="6" w:space="0" w:color="auto"/>
              <w:right w:val="double" w:sz="6" w:space="0" w:color="auto"/>
            </w:tcBorders>
          </w:tcPr>
          <w:p w:rsidR="00F1207E" w:rsidRPr="00445C3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lang w:val="pt-BR"/>
              </w:rPr>
            </w:pPr>
            <w:r w:rsidRPr="00445C3B">
              <w:rPr>
                <w:b/>
                <w:sz w:val="20"/>
                <w:lang w:val="pt-BR"/>
              </w:rPr>
              <w:t>FM Classes</w:t>
            </w:r>
          </w:p>
          <w:p w:rsidR="00F1207E" w:rsidRPr="00445C3B"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lang w:val="pt-BR"/>
              </w:rPr>
            </w:pPr>
            <w:r w:rsidRPr="00445C3B">
              <w:rPr>
                <w:b/>
                <w:sz w:val="20"/>
                <w:lang w:val="pt-BR"/>
              </w:rPr>
              <w:t>B, C, C0, C1 &amp; C2</w:t>
            </w:r>
          </w:p>
        </w:tc>
      </w:tr>
      <w:tr w:rsidR="00F1207E"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&lt;=25,000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$775</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$645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$590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$670</w:t>
            </w:r>
          </w:p>
        </w:tc>
        <w:tc>
          <w:tcPr>
            <w:tcW w:w="144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$750</w:t>
            </w:r>
          </w:p>
        </w:tc>
        <w:tc>
          <w:tcPr>
            <w:tcW w:w="135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$925</w:t>
            </w:r>
          </w:p>
        </w:tc>
      </w:tr>
      <w:tr w:rsidR="00F1207E"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25,001 – 75,000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$1,550</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$1,300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$1,000</w:t>
            </w:r>
          </w:p>
        </w:tc>
        <w:tc>
          <w:tcPr>
            <w:tcW w:w="144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$1,500</w:t>
            </w:r>
          </w:p>
        </w:tc>
        <w:tc>
          <w:tcPr>
            <w:tcW w:w="135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$1,625</w:t>
            </w:r>
          </w:p>
        </w:tc>
      </w:tr>
      <w:tr w:rsidR="00F1207E"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75,001 – 150,000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$2,325</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$1,625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$1,200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$1,675</w:t>
            </w:r>
          </w:p>
        </w:tc>
        <w:tc>
          <w:tcPr>
            <w:tcW w:w="144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$2,050</w:t>
            </w:r>
          </w:p>
        </w:tc>
        <w:tc>
          <w:tcPr>
            <w:tcW w:w="135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$3,000</w:t>
            </w:r>
          </w:p>
        </w:tc>
      </w:tr>
      <w:tr w:rsidR="00F1207E"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150,001 – 500,000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$3,475</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$2,750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$1,800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$2,025</w:t>
            </w:r>
          </w:p>
        </w:tc>
        <w:tc>
          <w:tcPr>
            <w:tcW w:w="144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$3,175</w:t>
            </w:r>
          </w:p>
        </w:tc>
        <w:tc>
          <w:tcPr>
            <w:tcW w:w="135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$3,925</w:t>
            </w:r>
          </w:p>
        </w:tc>
      </w:tr>
      <w:tr w:rsidR="00F1207E" w:rsidTr="00F1207E">
        <w:tc>
          <w:tcPr>
            <w:tcW w:w="1890"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500,001 – 1,200,000</w:t>
            </w:r>
          </w:p>
        </w:tc>
        <w:tc>
          <w:tcPr>
            <w:tcW w:w="108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$5,025</w:t>
            </w:r>
          </w:p>
        </w:tc>
        <w:tc>
          <w:tcPr>
            <w:tcW w:w="99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$4,225</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$3,000</w:t>
            </w:r>
          </w:p>
        </w:tc>
        <w:tc>
          <w:tcPr>
            <w:tcW w:w="90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$3,375</w:t>
            </w:r>
          </w:p>
        </w:tc>
        <w:tc>
          <w:tcPr>
            <w:tcW w:w="1440" w:type="dxa"/>
            <w:tcBorders>
              <w:top w:val="single" w:sz="6" w:space="0" w:color="auto"/>
              <w:left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$5,050</w:t>
            </w:r>
          </w:p>
        </w:tc>
        <w:tc>
          <w:tcPr>
            <w:tcW w:w="1350"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$5,775</w:t>
            </w:r>
          </w:p>
        </w:tc>
      </w:tr>
      <w:tr w:rsidR="00F1207E" w:rsidTr="00F1207E">
        <w:trPr>
          <w:trHeight w:val="361"/>
        </w:trPr>
        <w:tc>
          <w:tcPr>
            <w:tcW w:w="1890" w:type="dxa"/>
            <w:tcBorders>
              <w:top w:val="single" w:sz="6" w:space="0" w:color="auto"/>
              <w:left w:val="doub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1,200,001 – 3,000,00</w:t>
            </w:r>
          </w:p>
        </w:tc>
        <w:tc>
          <w:tcPr>
            <w:tcW w:w="1080" w:type="dxa"/>
            <w:tcBorders>
              <w:top w:val="single" w:sz="6" w:space="0" w:color="auto"/>
              <w:left w:val="sing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$7,750</w:t>
            </w:r>
          </w:p>
        </w:tc>
        <w:tc>
          <w:tcPr>
            <w:tcW w:w="990" w:type="dxa"/>
            <w:tcBorders>
              <w:top w:val="single" w:sz="6" w:space="0" w:color="auto"/>
              <w:left w:val="sing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$6,500</w:t>
            </w:r>
          </w:p>
        </w:tc>
        <w:tc>
          <w:tcPr>
            <w:tcW w:w="900" w:type="dxa"/>
            <w:tcBorders>
              <w:top w:val="single" w:sz="6" w:space="0" w:color="auto"/>
              <w:left w:val="sing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$4,500</w:t>
            </w:r>
          </w:p>
        </w:tc>
        <w:tc>
          <w:tcPr>
            <w:tcW w:w="900" w:type="dxa"/>
            <w:tcBorders>
              <w:top w:val="single" w:sz="6" w:space="0" w:color="auto"/>
              <w:left w:val="sing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$5,400</w:t>
            </w:r>
          </w:p>
        </w:tc>
        <w:tc>
          <w:tcPr>
            <w:tcW w:w="1440" w:type="dxa"/>
            <w:tcBorders>
              <w:top w:val="single" w:sz="6" w:space="0" w:color="auto"/>
              <w:left w:val="single" w:sz="6" w:space="0" w:color="auto"/>
              <w:bottom w:val="sing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$8,250</w:t>
            </w:r>
          </w:p>
        </w:tc>
        <w:tc>
          <w:tcPr>
            <w:tcW w:w="1350" w:type="dxa"/>
            <w:tcBorders>
              <w:top w:val="single" w:sz="6" w:space="0" w:color="auto"/>
              <w:left w:val="single" w:sz="6" w:space="0" w:color="auto"/>
              <w:bottom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$9,250</w:t>
            </w:r>
          </w:p>
        </w:tc>
      </w:tr>
      <w:tr w:rsidR="00F1207E" w:rsidTr="00F1207E">
        <w:tc>
          <w:tcPr>
            <w:tcW w:w="1890" w:type="dxa"/>
            <w:tcBorders>
              <w:top w:val="single" w:sz="6" w:space="0" w:color="auto"/>
              <w:left w:val="doub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&gt;3,000,000</w:t>
            </w:r>
          </w:p>
        </w:tc>
        <w:tc>
          <w:tcPr>
            <w:tcW w:w="108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$9,300</w:t>
            </w:r>
          </w:p>
        </w:tc>
        <w:tc>
          <w:tcPr>
            <w:tcW w:w="99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$7,800</w:t>
            </w:r>
          </w:p>
        </w:tc>
        <w:tc>
          <w:tcPr>
            <w:tcW w:w="90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$5,700</w:t>
            </w:r>
          </w:p>
        </w:tc>
        <w:tc>
          <w:tcPr>
            <w:tcW w:w="90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$6,750</w:t>
            </w:r>
          </w:p>
        </w:tc>
        <w:tc>
          <w:tcPr>
            <w:tcW w:w="1440" w:type="dxa"/>
            <w:tcBorders>
              <w:top w:val="single" w:sz="6" w:space="0" w:color="auto"/>
              <w:left w:val="single" w:sz="6" w:space="0" w:color="auto"/>
              <w:bottom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$10,500</w:t>
            </w:r>
          </w:p>
        </w:tc>
        <w:tc>
          <w:tcPr>
            <w:tcW w:w="1350" w:type="dxa"/>
            <w:tcBorders>
              <w:top w:val="single" w:sz="6" w:space="0" w:color="auto"/>
              <w:left w:val="single" w:sz="6" w:space="0" w:color="auto"/>
              <w:bottom w:val="doub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$12,025</w:t>
            </w:r>
          </w:p>
        </w:tc>
      </w:tr>
    </w:tbl>
    <w:p w:rsidR="00F1207E" w:rsidRDefault="00F1207E" w:rsidP="00F1207E">
      <w:pPr>
        <w:tabs>
          <w:tab w:val="right" w:pos="10080"/>
        </w:tabs>
        <w:suppressAutoHyphens/>
        <w:ind w:left="450"/>
        <w:jc w:val="center"/>
        <w:outlineLvl w:val="0"/>
        <w:rPr>
          <w:b/>
          <w:szCs w:val="22"/>
        </w:rPr>
      </w:pPr>
    </w:p>
    <w:p w:rsidR="00F1207E" w:rsidRDefault="00F1207E" w:rsidP="00F1207E">
      <w:pPr>
        <w:tabs>
          <w:tab w:val="right" w:pos="10080"/>
        </w:tabs>
        <w:suppressAutoHyphens/>
        <w:ind w:left="450"/>
        <w:jc w:val="center"/>
        <w:outlineLvl w:val="0"/>
        <w:rPr>
          <w:b/>
          <w:szCs w:val="22"/>
        </w:rPr>
      </w:pPr>
      <w:bookmarkStart w:id="285" w:name="_Toc394672332"/>
      <w:r>
        <w:rPr>
          <w:b/>
          <w:szCs w:val="22"/>
        </w:rPr>
        <w:t>FY 2014 SCHEDULE OF REGULATORY FEES</w:t>
      </w:r>
      <w:bookmarkEnd w:id="285"/>
    </w:p>
    <w:p w:rsidR="00F1207E" w:rsidRDefault="00F1207E" w:rsidP="00F1207E">
      <w:pPr>
        <w:tabs>
          <w:tab w:val="right" w:pos="10080"/>
        </w:tabs>
        <w:suppressAutoHyphens/>
        <w:ind w:left="450"/>
        <w:jc w:val="center"/>
        <w:outlineLvl w:val="0"/>
        <w:rPr>
          <w:b/>
          <w:szCs w:val="22"/>
        </w:rPr>
      </w:pPr>
      <w:bookmarkStart w:id="286" w:name="_Toc394672333"/>
      <w:r>
        <w:rPr>
          <w:b/>
          <w:szCs w:val="22"/>
        </w:rPr>
        <w:t>International Bearer Circuits - Submarine Cable</w:t>
      </w:r>
      <w:bookmarkEnd w:id="286"/>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F1207E" w:rsidTr="00F1207E">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pacing w:val="-3"/>
                <w:szCs w:val="22"/>
              </w:rPr>
              <w:t>Submarine Cable Systems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 w:val="20"/>
              </w:rPr>
            </w:pPr>
            <w:r>
              <w:rPr>
                <w:sz w:val="20"/>
              </w:rPr>
              <w:t>(capacity as of December 31, 2013)</w:t>
            </w:r>
          </w:p>
        </w:tc>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spacing w:val="-3"/>
                <w:szCs w:val="22"/>
              </w:rPr>
              <w:t>Fee amount</w:t>
            </w:r>
          </w:p>
        </w:tc>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spacing w:val="-3"/>
                <w:szCs w:val="22"/>
              </w:rPr>
              <w:t>Address</w:t>
            </w:r>
          </w:p>
        </w:tc>
      </w:tr>
      <w:tr w:rsidR="00F1207E" w:rsidTr="00F1207E">
        <w:trPr>
          <w:trHeight w:val="1034"/>
        </w:trPr>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Pr>
                <w:b/>
                <w:szCs w:val="22"/>
              </w:rPr>
              <w:t>&lt; 2.5 Gbps</w:t>
            </w:r>
          </w:p>
        </w:tc>
        <w:tc>
          <w:tcPr>
            <w:tcW w:w="3192" w:type="dxa"/>
            <w:vAlign w:val="center"/>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bCs/>
                <w:szCs w:val="22"/>
              </w:rPr>
              <w:t>$10,250</w:t>
            </w:r>
          </w:p>
        </w:tc>
        <w:tc>
          <w:tcPr>
            <w:tcW w:w="3192" w:type="dxa"/>
          </w:tcPr>
          <w:p w:rsidR="00F1207E" w:rsidRDefault="00F1207E" w:rsidP="00F1207E">
            <w:pPr>
              <w:rPr>
                <w:szCs w:val="22"/>
              </w:rPr>
            </w:pPr>
          </w:p>
          <w:p w:rsidR="00F1207E" w:rsidRDefault="00F1207E" w:rsidP="00F1207E">
            <w:pPr>
              <w:rPr>
                <w:szCs w:val="22"/>
              </w:rPr>
            </w:pPr>
            <w:r>
              <w:rPr>
                <w:szCs w:val="22"/>
              </w:rPr>
              <w:t>FCC, International, P.O. Box 979084, St. Louis, MO 63197-9000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tc>
      </w:tr>
      <w:tr w:rsidR="00F1207E" w:rsidTr="00F1207E">
        <w:trPr>
          <w:trHeight w:val="1034"/>
        </w:trPr>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r>
              <w:rPr>
                <w:b/>
                <w:szCs w:val="22"/>
              </w:rPr>
              <w:t>2.5 Gbps or greater, but less than 5 Gbps</w:t>
            </w:r>
          </w:p>
        </w:tc>
        <w:tc>
          <w:tcPr>
            <w:tcW w:w="3192" w:type="dxa"/>
            <w:vAlign w:val="center"/>
          </w:tcPr>
          <w:p w:rsidR="00F1207E" w:rsidRDefault="00F1207E" w:rsidP="00F1207E">
            <w:pPr>
              <w:jc w:val="center"/>
              <w:rPr>
                <w:bCs/>
                <w:szCs w:val="22"/>
              </w:rPr>
            </w:pPr>
            <w:r>
              <w:rPr>
                <w:bCs/>
                <w:szCs w:val="22"/>
              </w:rPr>
              <w:t>$20,500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p w:rsidR="00F1207E" w:rsidRDefault="00F1207E" w:rsidP="00F1207E">
            <w:pPr>
              <w:rPr>
                <w:szCs w:val="22"/>
              </w:rPr>
            </w:pPr>
            <w:r>
              <w:rPr>
                <w:szCs w:val="22"/>
              </w:rPr>
              <w:t>FCC, International, P.O. Box 979084, St. Louis, MO 63197-9000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F1207E" w:rsidTr="00F1207E">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r>
              <w:rPr>
                <w:b/>
                <w:szCs w:val="22"/>
              </w:rPr>
              <w:t>5 Gbps or greater, but less than 10 Gbps</w:t>
            </w:r>
          </w:p>
        </w:tc>
        <w:tc>
          <w:tcPr>
            <w:tcW w:w="3192" w:type="dxa"/>
            <w:vAlign w:val="center"/>
          </w:tcPr>
          <w:p w:rsidR="00F1207E" w:rsidRDefault="00F1207E" w:rsidP="00F1207E">
            <w:pPr>
              <w:jc w:val="center"/>
              <w:rPr>
                <w:bCs/>
                <w:szCs w:val="22"/>
              </w:rPr>
            </w:pPr>
            <w:r>
              <w:rPr>
                <w:bCs/>
                <w:szCs w:val="22"/>
              </w:rPr>
              <w:t xml:space="preserve">$40,975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p w:rsidR="00F1207E" w:rsidRDefault="00F1207E" w:rsidP="00F1207E">
            <w:pPr>
              <w:rPr>
                <w:szCs w:val="22"/>
              </w:rPr>
            </w:pPr>
            <w:r>
              <w:rPr>
                <w:szCs w:val="22"/>
              </w:rPr>
              <w:t>FCC, International, P.O. Box 979084, St. Louis, MO 63197-9000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F1207E" w:rsidTr="00F1207E">
        <w:trPr>
          <w:trHeight w:val="998"/>
        </w:trPr>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r>
              <w:rPr>
                <w:b/>
                <w:szCs w:val="22"/>
              </w:rPr>
              <w:t>10 Gbps or greater, but less than 20 Gbps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p>
        </w:tc>
        <w:tc>
          <w:tcPr>
            <w:tcW w:w="3192" w:type="dxa"/>
            <w:vAlign w:val="center"/>
          </w:tcPr>
          <w:p w:rsidR="00F1207E" w:rsidRDefault="00F1207E" w:rsidP="00F1207E">
            <w:pPr>
              <w:jc w:val="center"/>
              <w:rPr>
                <w:bCs/>
                <w:szCs w:val="22"/>
              </w:rPr>
            </w:pPr>
            <w:r>
              <w:rPr>
                <w:bCs/>
                <w:szCs w:val="22"/>
              </w:rPr>
              <w:t xml:space="preserve">$81,950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r>
              <w:rPr>
                <w:spacing w:val="-3"/>
                <w:szCs w:val="22"/>
              </w:rPr>
              <w:t xml:space="preserve"> </w:t>
            </w:r>
          </w:p>
          <w:p w:rsidR="00F1207E" w:rsidRDefault="00F1207E" w:rsidP="00F1207E">
            <w:pPr>
              <w:rPr>
                <w:spacing w:val="-3"/>
                <w:szCs w:val="22"/>
              </w:rPr>
            </w:pPr>
            <w:r>
              <w:rPr>
                <w:szCs w:val="22"/>
              </w:rPr>
              <w:t>FCC, International, P.O. Box 979084, St. Louis, MO 63197-9000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F1207E" w:rsidTr="00F1207E">
        <w:trPr>
          <w:trHeight w:val="998"/>
        </w:trPr>
        <w:tc>
          <w:tcPr>
            <w:tcW w:w="3192" w:type="dxa"/>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r>
              <w:rPr>
                <w:b/>
                <w:szCs w:val="22"/>
              </w:rPr>
              <w:t>20 Gbps or greater</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p>
        </w:tc>
        <w:tc>
          <w:tcPr>
            <w:tcW w:w="3192" w:type="dxa"/>
            <w:vAlign w:val="center"/>
          </w:tcPr>
          <w:p w:rsidR="00F1207E" w:rsidRDefault="00F1207E" w:rsidP="00F1207E">
            <w:pPr>
              <w:jc w:val="center"/>
            </w:pPr>
            <w:r>
              <w:rPr>
                <w:bCs/>
                <w:szCs w:val="22"/>
              </w:rPr>
              <w:t>$163,900</w:t>
            </w:r>
          </w:p>
        </w:tc>
        <w:tc>
          <w:tcPr>
            <w:tcW w:w="3192" w:type="dxa"/>
          </w:tcPr>
          <w:p w:rsidR="00F1207E" w:rsidRDefault="00F1207E" w:rsidP="00F1207E">
            <w:pPr>
              <w:rPr>
                <w:spacing w:val="-3"/>
              </w:rPr>
            </w:pPr>
            <w:r>
              <w:rPr>
                <w:szCs w:val="22"/>
              </w:rPr>
              <w:t>FCC, International, P.O. Box 979084, St. Louis, MO 63197-9000</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tc>
      </w:tr>
    </w:tbl>
    <w:p w:rsidR="005261EC" w:rsidRDefault="005261EC" w:rsidP="00F1207E">
      <w:pPr>
        <w:autoSpaceDE w:val="0"/>
        <w:autoSpaceDN w:val="0"/>
        <w:adjustRightInd w:val="0"/>
        <w:jc w:val="center"/>
        <w:rPr>
          <w:b/>
        </w:rPr>
      </w:pPr>
    </w:p>
    <w:p w:rsidR="005261EC" w:rsidRDefault="005261EC" w:rsidP="00F1207E">
      <w:pPr>
        <w:autoSpaceDE w:val="0"/>
        <w:autoSpaceDN w:val="0"/>
        <w:adjustRightInd w:val="0"/>
        <w:jc w:val="center"/>
        <w:rPr>
          <w:b/>
        </w:rPr>
      </w:pPr>
    </w:p>
    <w:p w:rsidR="00497411" w:rsidRDefault="00497411" w:rsidP="00F1207E">
      <w:pPr>
        <w:autoSpaceDE w:val="0"/>
        <w:autoSpaceDN w:val="0"/>
        <w:adjustRightInd w:val="0"/>
        <w:jc w:val="center"/>
        <w:rPr>
          <w:b/>
        </w:rPr>
      </w:pPr>
    </w:p>
    <w:p w:rsidR="00497411" w:rsidRDefault="00497411" w:rsidP="00F1207E">
      <w:pPr>
        <w:autoSpaceDE w:val="0"/>
        <w:autoSpaceDN w:val="0"/>
        <w:adjustRightInd w:val="0"/>
        <w:jc w:val="center"/>
        <w:rPr>
          <w:b/>
        </w:rPr>
      </w:pPr>
    </w:p>
    <w:p w:rsidR="00F1207E" w:rsidRDefault="00F1207E" w:rsidP="00F1207E">
      <w:pPr>
        <w:autoSpaceDE w:val="0"/>
        <w:autoSpaceDN w:val="0"/>
        <w:adjustRightInd w:val="0"/>
        <w:jc w:val="center"/>
        <w:rPr>
          <w:b/>
        </w:rPr>
      </w:pPr>
      <w:r>
        <w:rPr>
          <w:b/>
        </w:rPr>
        <w:t>A</w:t>
      </w:r>
      <w:r w:rsidR="005261EC">
        <w:rPr>
          <w:b/>
        </w:rPr>
        <w:t>PPENDIX</w:t>
      </w:r>
      <w:r>
        <w:rPr>
          <w:b/>
        </w:rPr>
        <w:t xml:space="preserve"> D</w:t>
      </w:r>
    </w:p>
    <w:p w:rsidR="00F1207E" w:rsidRDefault="00F1207E" w:rsidP="00F1207E">
      <w:pPr>
        <w:autoSpaceDE w:val="0"/>
        <w:autoSpaceDN w:val="0"/>
        <w:adjustRightInd w:val="0"/>
        <w:jc w:val="center"/>
        <w:rPr>
          <w:sz w:val="24"/>
          <w:szCs w:val="24"/>
        </w:rPr>
      </w:pPr>
    </w:p>
    <w:p w:rsidR="00F1207E" w:rsidRDefault="00F1207E" w:rsidP="00F1207E">
      <w:pPr>
        <w:jc w:val="center"/>
        <w:rPr>
          <w:b/>
        </w:rPr>
      </w:pPr>
      <w:r>
        <w:rPr>
          <w:b/>
        </w:rPr>
        <w:t>Sources of Payment Unit Estimates for FY 2014</w:t>
      </w:r>
    </w:p>
    <w:p w:rsidR="00F1207E" w:rsidRDefault="00F1207E" w:rsidP="00F1207E">
      <w:pPr>
        <w:jc w:val="center"/>
        <w:rPr>
          <w:b/>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r>
        <w:t xml:space="preserve">In order to calculate individual service fees for FY 2014, we adjusted FY 2013 payment units for each service to more accurately reflect expected FY 2014 payment liabilities.  </w:t>
      </w:r>
      <w:r>
        <w:rPr>
          <w:spacing w:val="-2"/>
          <w:szCs w:val="22"/>
        </w:rPr>
        <w:t xml:space="preserve">We obtained our updated estimates through a variety of means. For example, we used Commission licensee data bases, actual prior year payment records and industry and trade association projections when available.  The databases we consulted include </w:t>
      </w:r>
      <w:r>
        <w:rPr>
          <w:szCs w:val="22"/>
        </w:rPr>
        <w:t xml:space="preserve">our </w:t>
      </w:r>
      <w:r>
        <w:t>Universal Licensing System (ULS), International Bureau Filing System (IBFS), Consolidated Database System (CDBS) and Cable Operations and Licensing System (COALS)</w:t>
      </w:r>
      <w:r>
        <w:rPr>
          <w:szCs w:val="22"/>
        </w:rPr>
        <w:t xml:space="preserve">, as well as reports generated within the Commission such as the Wireline Competition Bureau’s </w:t>
      </w:r>
      <w:r>
        <w:rPr>
          <w:i/>
          <w:szCs w:val="22"/>
        </w:rPr>
        <w:t>Trends in Telephone Service</w:t>
      </w:r>
      <w:r>
        <w:rPr>
          <w:szCs w:val="22"/>
        </w:rPr>
        <w:t xml:space="preserve"> and the Wireless Telecommunications Bureau’s </w:t>
      </w:r>
      <w:r>
        <w:rPr>
          <w:i/>
          <w:szCs w:val="22"/>
        </w:rPr>
        <w:t>Numbering Resource Utilization Forecast</w:t>
      </w:r>
      <w:r>
        <w:rPr>
          <w:szCs w:val="22"/>
        </w:rPr>
        <w:t xml:space="preserve">.  </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 w:val="20"/>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r>
        <w:rPr>
          <w:spacing w:val="-2"/>
          <w:szCs w:val="22"/>
        </w:rPr>
        <w:t>We sought verification for these estimates from multiple sources and, in all cases; we compared FY 2014 estimates with actual FY 2013 payment units to ensure that our revised estimates were reasonable.  Where appropriate, we adjusted and/or rounded our final estimates to take into consideration the fact that certain variables that impact on the number of payment units cannot yet be estimated with sufficient accuracy.  These include an unknown number of waivers and/or exemptions that may occur in FY 2014 and the fact that, in many services, the number of actual licensees or station operators fluctuates from time to time due to economic, technical, or other reasons.  When we note, for example, that our estimated FY 2014 payment units are based on FY 2013 actual payment units, it does not necessarily mean that our FY 2014 projection is exactly the same number as in FY 2013.  We have either rounded the FY 2014 number or adjusted it slightly to account for these variables.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2"/>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Pr>
          <w:sz w:val="20"/>
        </w:rPr>
      </w:pPr>
      <w:r>
        <w:rPr>
          <w:sz w:val="20"/>
        </w:rPr>
        <w:t xml:space="preserve"> </w:t>
      </w:r>
    </w:p>
    <w:tbl>
      <w:tblPr>
        <w:tblW w:w="8640" w:type="dxa"/>
        <w:tblInd w:w="120" w:type="dxa"/>
        <w:tblLayout w:type="fixed"/>
        <w:tblCellMar>
          <w:left w:w="120" w:type="dxa"/>
          <w:right w:w="120" w:type="dxa"/>
        </w:tblCellMar>
        <w:tblLook w:val="0000"/>
      </w:tblPr>
      <w:tblGrid>
        <w:gridCol w:w="2978"/>
        <w:gridCol w:w="5662"/>
      </w:tblGrid>
      <w:tr w:rsidR="00F1207E" w:rsidTr="00F1207E">
        <w:tc>
          <w:tcPr>
            <w:tcW w:w="2978" w:type="dxa"/>
            <w:tcBorders>
              <w:top w:val="double" w:sz="6" w:space="0" w:color="auto"/>
              <w:left w:val="double" w:sz="6" w:space="0" w:color="auto"/>
            </w:tcBorders>
          </w:tcPr>
          <w:p w:rsidR="00F1207E" w:rsidRDefault="001A7F66"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jc w:val="center"/>
              <w:rPr>
                <w:b/>
                <w:sz w:val="20"/>
              </w:rPr>
            </w:pPr>
            <w:r>
              <w:rPr>
                <w:sz w:val="20"/>
              </w:rPr>
              <w:fldChar w:fldCharType="begin"/>
            </w:r>
            <w:r w:rsidR="00F1207E">
              <w:rPr>
                <w:sz w:val="20"/>
              </w:rPr>
              <w:instrText xml:space="preserve">PRIVATE </w:instrText>
            </w:r>
            <w:r>
              <w:rPr>
                <w:sz w:val="20"/>
              </w:rPr>
              <w:fldChar w:fldCharType="end"/>
            </w:r>
            <w:r w:rsidR="00F1207E">
              <w:rPr>
                <w:b/>
                <w:sz w:val="20"/>
              </w:rPr>
              <w:t>FEE CATEGORY</w:t>
            </w:r>
          </w:p>
        </w:tc>
        <w:tc>
          <w:tcPr>
            <w:tcW w:w="5662" w:type="dxa"/>
            <w:tcBorders>
              <w:top w:val="doub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jc w:val="center"/>
              <w:rPr>
                <w:b/>
                <w:sz w:val="20"/>
              </w:rPr>
            </w:pPr>
            <w:r>
              <w:rPr>
                <w:b/>
                <w:sz w:val="20"/>
              </w:rPr>
              <w:t>SOURCES OF PAYMENT UNIT ESTIMATES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Land Mobile (All), Microwave, 218-219 MHz, Marine (Ship &amp; Coast), Aviation (Aircraft &amp; Ground), GMRS, Amateur Vanity Call Signs, Domestic Public Fixed </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Wireless Telecommunications Bureau (“WTB”) projections of new applications and renewals taking into consideration existing Commission licensee data bases. Aviation (Aircraft) and Marine (Ship) estimates have been adjusted to take into consideration the licensing of portions of these services on a voluntary basis.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CMRS Cellular/Mobile Services </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Based on WTB projection reports, and FY 13 payment data. </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CMRS Messaging Services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Based on WTB reports, and FY 13 payment data.  </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AM/FM Radio Stations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CDBS data, adjusted for exemptions,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Digital TV Stations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(Combined VHF/UHF units)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CDBS data, adjusted for exemptions,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AM/FM/TV Construction Permits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Based on CDBS data, adjusted for exemptions, and actual FY 2013 payment units. </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LPTV, Translators and Boosters, Class A Television</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CDBS data, adjusted for exemptions,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Broadcast Auxiliaries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BRS (formerly MDS/MMDS)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LMDS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WTB reports and actual FY 2013 payment units.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WTB reports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lastRenderedPageBreak/>
              <w:t>Cable Television Relay Service (“CARS”) Stations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data from Media Bureau’s COALS database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Cable Television System Subscribers, Including IPTV Subscribers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 xml:space="preserve">Based on publicly available data sources for estimated subscriber counts and actual FY 2013 payment units. </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Interstate Telecommunication Service Providers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FCC Form 499-Q data for the four quarters of calendar year 2013, the Wireline Competition Bureau projected the amount of calendar year 2013 revenue that will be reported on 2014 FCC Form 499-A worksheets in April, 2014.</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Earth Stations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International Bureau (“IB”) licensing data and actual FY 2013 payment units.</w:t>
            </w:r>
          </w:p>
        </w:tc>
      </w:tr>
      <w:tr w:rsidR="00F1207E" w:rsidTr="00F1207E">
        <w:tc>
          <w:tcPr>
            <w:tcW w:w="2978" w:type="dxa"/>
            <w:tcBorders>
              <w:top w:val="single" w:sz="6" w:space="0" w:color="auto"/>
              <w:lef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Space Stations (GSOs &amp; NGSOs)</w:t>
            </w:r>
          </w:p>
        </w:tc>
        <w:tc>
          <w:tcPr>
            <w:tcW w:w="5662" w:type="dxa"/>
            <w:tcBorders>
              <w:top w:val="single" w:sz="6" w:space="0" w:color="auto"/>
              <w:left w:val="sing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IB data reports and actual FY 2013 payment units.</w:t>
            </w:r>
          </w:p>
        </w:tc>
      </w:tr>
      <w:tr w:rsidR="00F1207E" w:rsidTr="00F1207E">
        <w:tc>
          <w:tcPr>
            <w:tcW w:w="2978" w:type="dxa"/>
            <w:tcBorders>
              <w:top w:val="single" w:sz="6" w:space="0" w:color="auto"/>
              <w:left w:val="double" w:sz="6" w:space="0" w:color="auto"/>
              <w:bottom w:val="single" w:sz="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International Bearer Circuits</w:t>
            </w:r>
          </w:p>
        </w:tc>
        <w:tc>
          <w:tcPr>
            <w:tcW w:w="5662" w:type="dxa"/>
            <w:tcBorders>
              <w:top w:val="single" w:sz="6" w:space="0" w:color="auto"/>
              <w:left w:val="single" w:sz="6" w:space="0" w:color="auto"/>
              <w:bottom w:val="single" w:sz="8"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IB reports and submissions by licensees, adjusted as necessary.</w:t>
            </w:r>
          </w:p>
        </w:tc>
      </w:tr>
      <w:tr w:rsidR="00F1207E" w:rsidTr="00F1207E">
        <w:tc>
          <w:tcPr>
            <w:tcW w:w="2978" w:type="dxa"/>
            <w:tcBorders>
              <w:top w:val="single" w:sz="8" w:space="0" w:color="auto"/>
              <w:left w:val="double" w:sz="6" w:space="0" w:color="auto"/>
              <w:bottom w:val="double" w:sz="6" w:space="0" w:color="auto"/>
              <w:right w:val="single" w:sz="8"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Submarine Cable Licenses</w:t>
            </w:r>
          </w:p>
        </w:tc>
        <w:tc>
          <w:tcPr>
            <w:tcW w:w="5662" w:type="dxa"/>
            <w:tcBorders>
              <w:top w:val="single" w:sz="8" w:space="0" w:color="auto"/>
              <w:left w:val="single" w:sz="8" w:space="0" w:color="auto"/>
              <w:bottom w:val="double" w:sz="6" w:space="0" w:color="auto"/>
              <w:right w:val="double" w:sz="6" w:space="0" w:color="auto"/>
            </w:tcBorders>
          </w:tcPr>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rPr>
                <w:sz w:val="20"/>
              </w:rPr>
            </w:pPr>
            <w:r>
              <w:rPr>
                <w:sz w:val="20"/>
              </w:rPr>
              <w:t>Based on IB license information.</w:t>
            </w:r>
          </w:p>
        </w:tc>
      </w:tr>
    </w:tbl>
    <w:p w:rsidR="00F1207E" w:rsidRDefault="00F1207E" w:rsidP="00F1207E"/>
    <w:p w:rsidR="00F1207E" w:rsidRDefault="00F1207E" w:rsidP="00F1207E">
      <w:pPr>
        <w:tabs>
          <w:tab w:val="right" w:pos="10080"/>
        </w:tabs>
        <w:suppressAutoHyphens/>
        <w:ind w:left="450"/>
        <w:jc w:val="center"/>
        <w:outlineLvl w:val="0"/>
        <w:rPr>
          <w:b/>
          <w:szCs w:val="22"/>
        </w:rPr>
      </w:pPr>
      <w:r>
        <w:br w:type="page"/>
      </w:r>
      <w:bookmarkStart w:id="287" w:name="_Toc394672334"/>
      <w:r w:rsidR="005261EC">
        <w:rPr>
          <w:b/>
        </w:rPr>
        <w:lastRenderedPageBreak/>
        <w:t>APPENDIX</w:t>
      </w:r>
      <w:r>
        <w:rPr>
          <w:b/>
        </w:rPr>
        <w:t xml:space="preserve"> E</w:t>
      </w:r>
      <w:bookmarkEnd w:id="287"/>
    </w:p>
    <w:p w:rsidR="00F1207E" w:rsidRDefault="00F1207E" w:rsidP="00F1207E">
      <w:pPr>
        <w:tabs>
          <w:tab w:val="right" w:pos="10080"/>
        </w:tabs>
        <w:suppressAutoHyphens/>
        <w:ind w:left="450"/>
        <w:jc w:val="center"/>
        <w:outlineLvl w:val="0"/>
        <w:rPr>
          <w:b/>
          <w:szCs w:val="22"/>
        </w:rPr>
      </w:pPr>
    </w:p>
    <w:p w:rsidR="00F1207E" w:rsidRDefault="00F1207E" w:rsidP="00F1207E">
      <w:pPr>
        <w:tabs>
          <w:tab w:val="right" w:pos="10080"/>
        </w:tabs>
        <w:suppressAutoHyphens/>
        <w:ind w:left="450"/>
        <w:jc w:val="center"/>
        <w:outlineLvl w:val="0"/>
        <w:rPr>
          <w:b/>
          <w:szCs w:val="22"/>
        </w:rPr>
      </w:pPr>
      <w:bookmarkStart w:id="288" w:name="_Toc394672335"/>
      <w:r>
        <w:rPr>
          <w:b/>
          <w:szCs w:val="22"/>
        </w:rPr>
        <w:t>Factors, Measurements, and Calculations That Determines Station</w:t>
      </w:r>
      <w:bookmarkEnd w:id="288"/>
    </w:p>
    <w:p w:rsidR="00F1207E" w:rsidRDefault="00F1207E" w:rsidP="00F1207E">
      <w:pPr>
        <w:tabs>
          <w:tab w:val="right" w:pos="10080"/>
        </w:tabs>
        <w:suppressAutoHyphens/>
        <w:ind w:left="450"/>
        <w:jc w:val="center"/>
        <w:outlineLvl w:val="0"/>
        <w:rPr>
          <w:b/>
          <w:szCs w:val="22"/>
        </w:rPr>
      </w:pPr>
      <w:bookmarkStart w:id="289" w:name="_Toc394672336"/>
      <w:r>
        <w:rPr>
          <w:b/>
          <w:szCs w:val="22"/>
        </w:rPr>
        <w:t>Signal Contours and Associated Population Coverages</w:t>
      </w:r>
      <w:bookmarkEnd w:id="289"/>
    </w:p>
    <w:p w:rsidR="00F1207E" w:rsidRDefault="00F1207E" w:rsidP="00F1207E">
      <w:pPr>
        <w:tabs>
          <w:tab w:val="right" w:pos="10080"/>
        </w:tabs>
        <w:suppressAutoHyphens/>
        <w:ind w:left="450"/>
        <w:jc w:val="center"/>
        <w:outlineLvl w:val="0"/>
        <w:rPr>
          <w:b/>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ight="720"/>
        <w:outlineLvl w:val="0"/>
        <w:rPr>
          <w:b/>
          <w:spacing w:val="-3"/>
          <w:szCs w:val="22"/>
          <w:u w:val="single"/>
        </w:rPr>
      </w:pPr>
      <w:bookmarkStart w:id="290" w:name="_Toc394672337"/>
      <w:r>
        <w:rPr>
          <w:b/>
          <w:spacing w:val="-3"/>
          <w:szCs w:val="22"/>
          <w:u w:val="single"/>
        </w:rPr>
        <w:t xml:space="preserve">AM </w:t>
      </w:r>
      <w:r>
        <w:rPr>
          <w:b/>
          <w:szCs w:val="22"/>
          <w:u w:val="single"/>
        </w:rPr>
        <w:t>Stations</w:t>
      </w:r>
      <w:bookmarkEnd w:id="290"/>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ind w:left="720"/>
        <w:rPr>
          <w:szCs w:val="22"/>
        </w:rPr>
      </w:pPr>
      <w:r>
        <w:rPr>
          <w:szCs w:val="22"/>
        </w:rPr>
        <w:t>For stations with nondirectional daytime antennas, the theoretical radiation was used at all azimuths.  For stations with directional daytime antennas, specific information on each day tower, including field ratio, phase, spacing, and orientation was retrieved, as well as the theoretical pattern root-mean-square of the radiation in all direc</w:t>
      </w:r>
      <w:r w:rsidR="00E60C0B">
        <w:rPr>
          <w:szCs w:val="22"/>
        </w:rPr>
        <w:t>tions in the horizontal plane (</w:t>
      </w:r>
      <w:r>
        <w:rPr>
          <w:szCs w:val="22"/>
        </w:rPr>
        <w:t>RMS) figure (milliVolt per meter (mV/m) @ 1 km) for the antenna system.  The standard, or augmented standard if pertinent, horizontal plane radiation pattern was calculated using techni</w:t>
      </w:r>
      <w:r w:rsidR="00E60C0B">
        <w:rPr>
          <w:szCs w:val="22"/>
        </w:rPr>
        <w:t xml:space="preserve">ques and methods specified in sections </w:t>
      </w:r>
      <w:r>
        <w:rPr>
          <w:szCs w:val="22"/>
        </w:rPr>
        <w:t>73.150 and 73.152 of the Commission</w:t>
      </w:r>
      <w:r w:rsidR="00E60C0B">
        <w:rPr>
          <w:szCs w:val="22"/>
        </w:rPr>
        <w:t>’</w:t>
      </w:r>
      <w:r>
        <w:rPr>
          <w:szCs w:val="22"/>
        </w:rPr>
        <w:t>s rules. Radiation values were calculated for each of 360 radials around the transmitter site.  Next, estimated soil conductivity data was retrieved from a database representing the information in FCC Figure R3. Using the calculated horizontal radiation values, and the retrieved soil conductivity data, the distance to the principal community (5 mV/m) contour was predicted for each of the 360 radials.  The resulting distance to principal community contours were used to form a geographical polygon.  Population counting was accomplished by determining which 2010 block centroids were contained in the polygon.  (A block centroid is the center point of a small area containing population as computed by the U.S. Census Bureau.)  The sum of the population figures for all enclosed blocks represents the total population for the predicted principal community coverage area.</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r>
        <w:rPr>
          <w:b/>
          <w:szCs w:val="22"/>
        </w:rPr>
        <w:tab/>
      </w:r>
      <w:r>
        <w:rPr>
          <w:b/>
          <w:szCs w:val="22"/>
          <w:u w:val="single"/>
        </w:rPr>
        <w:t>FM Stations</w:t>
      </w:r>
    </w:p>
    <w:p w:rsidR="00F1207E" w:rsidRDefault="00F1207E" w:rsidP="00F1207E">
      <w:pPr>
        <w:tabs>
          <w:tab w:val="left" w:pos="-1440"/>
          <w:tab w:val="left" w:pos="-720"/>
          <w:tab w:val="left" w:pos="0"/>
          <w:tab w:val="left" w:pos="720"/>
          <w:tab w:val="left" w:pos="1440"/>
          <w:tab w:val="left" w:pos="2160"/>
          <w:tab w:val="left" w:pos="2880"/>
          <w:tab w:val="left" w:pos="3600"/>
          <w:tab w:val="left" w:pos="4680"/>
          <w:tab w:val="left" w:pos="5040"/>
        </w:tabs>
        <w:suppressAutoHyphens/>
        <w:rPr>
          <w:szCs w:val="22"/>
        </w:rPr>
      </w:pPr>
    </w:p>
    <w:p w:rsidR="00F1207E" w:rsidRDefault="00F1207E" w:rsidP="00F1207E">
      <w:pPr>
        <w:tabs>
          <w:tab w:val="left" w:pos="-1440"/>
          <w:tab w:val="left" w:pos="-720"/>
          <w:tab w:val="left" w:pos="720"/>
          <w:tab w:val="left" w:pos="1440"/>
          <w:tab w:val="left" w:pos="2160"/>
          <w:tab w:val="left" w:pos="2880"/>
          <w:tab w:val="left" w:pos="3600"/>
          <w:tab w:val="left" w:pos="4680"/>
          <w:tab w:val="left" w:pos="5040"/>
        </w:tabs>
        <w:suppressAutoHyphens/>
        <w:ind w:left="720"/>
      </w:pPr>
      <w:r>
        <w:rPr>
          <w:szCs w:val="22"/>
        </w:rPr>
        <w:t>The greater of the horizontal or vertical effective radiated power (ERP) (kW) and respective height above average terrain (HAAT) (m) combination was used.  Where the antenna height above mean sea level (HAMSL) was available, it was used in lieu of the average HAAT figure to calculate specific HAAT figures for each of 360 radials under study.  Any available directional pattern information was applied as well, to produce a radial-specific ERP figure.  The HAAT and ERP figures were used in conjunction with the Field Strength (50-50) propagation curves specified in 47 C.F.R. §73.313 of the Commission</w:t>
      </w:r>
      <w:r w:rsidR="000B065E">
        <w:rPr>
          <w:szCs w:val="22"/>
        </w:rPr>
        <w:t>’</w:t>
      </w:r>
      <w:r>
        <w:rPr>
          <w:szCs w:val="22"/>
        </w:rPr>
        <w:t>s rules to predict the distance to the principal community (70 dBu (decibel above 1 microVolt per meter) or 3.17 mV/m) contour for each of the 360 radials.  The resulting distance to principal community contours were used to form a geographical polygon.  Population counting was accomplished by determining which 2010 block centroids were contained in the polygon.  The sum of the population figures for all enclosed blocks represents the total population for the predicted principal community coverage area.</w:t>
      </w:r>
      <w:r>
        <w:t xml:space="preserve"> </w:t>
      </w:r>
    </w:p>
    <w:p w:rsidR="00F1207E" w:rsidRDefault="00F1207E" w:rsidP="00F1207E">
      <w:pPr>
        <w:tabs>
          <w:tab w:val="left" w:pos="-1440"/>
          <w:tab w:val="left" w:pos="-720"/>
          <w:tab w:val="left" w:pos="720"/>
          <w:tab w:val="left" w:pos="1440"/>
          <w:tab w:val="left" w:pos="2160"/>
          <w:tab w:val="left" w:pos="2880"/>
          <w:tab w:val="left" w:pos="3600"/>
          <w:tab w:val="left" w:pos="4680"/>
          <w:tab w:val="left" w:pos="5040"/>
        </w:tabs>
        <w:suppressAutoHyphens/>
        <w:ind w:left="720"/>
      </w:pPr>
    </w:p>
    <w:p w:rsidR="00F1207E" w:rsidRDefault="00F1207E" w:rsidP="00F1207E">
      <w:pPr>
        <w:tabs>
          <w:tab w:val="left" w:pos="-1440"/>
          <w:tab w:val="left" w:pos="-720"/>
          <w:tab w:val="left" w:pos="720"/>
          <w:tab w:val="left" w:pos="1440"/>
          <w:tab w:val="left" w:pos="2160"/>
          <w:tab w:val="left" w:pos="2880"/>
          <w:tab w:val="left" w:pos="3600"/>
          <w:tab w:val="left" w:pos="4680"/>
          <w:tab w:val="left" w:pos="5040"/>
        </w:tabs>
        <w:suppressAutoHyphens/>
        <w:ind w:left="720"/>
      </w:pPr>
    </w:p>
    <w:p w:rsidR="00264877" w:rsidRDefault="00264877" w:rsidP="00264877">
      <w:pPr>
        <w:rPr>
          <w:b/>
        </w:rPr>
      </w:pPr>
    </w:p>
    <w:p w:rsidR="00883A16" w:rsidRDefault="00883A16" w:rsidP="00264877">
      <w:pPr>
        <w:rPr>
          <w:b/>
        </w:rPr>
      </w:pPr>
    </w:p>
    <w:p w:rsidR="00883A16" w:rsidRDefault="00883A16" w:rsidP="00264877">
      <w:pPr>
        <w:rPr>
          <w:b/>
        </w:rPr>
      </w:pPr>
    </w:p>
    <w:p w:rsidR="00883A16" w:rsidRDefault="00883A16" w:rsidP="00264877">
      <w:pPr>
        <w:rPr>
          <w:b/>
        </w:rPr>
      </w:pPr>
    </w:p>
    <w:p w:rsidR="003F56CE" w:rsidRDefault="003F56CE" w:rsidP="003F56CE">
      <w:pPr>
        <w:widowControl/>
        <w:rPr>
          <w:b/>
        </w:rPr>
        <w:sectPr w:rsidR="003F56CE" w:rsidSect="000B11B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092" w:right="1440" w:bottom="720" w:left="1440" w:header="720" w:footer="720" w:gutter="0"/>
          <w:pgNumType w:start="1"/>
          <w:cols w:space="720"/>
          <w:titlePg/>
          <w:docGrid w:linePitch="299"/>
        </w:sectPr>
      </w:pPr>
    </w:p>
    <w:p w:rsidR="00264877" w:rsidRDefault="00883A16" w:rsidP="003F56CE">
      <w:pPr>
        <w:widowControl/>
        <w:ind w:left="2880" w:firstLine="720"/>
        <w:rPr>
          <w:szCs w:val="22"/>
        </w:rPr>
      </w:pPr>
      <w:bookmarkStart w:id="291" w:name="_Toc93825446"/>
      <w:bookmarkStart w:id="292" w:name="_Toc93825447"/>
      <w:bookmarkStart w:id="293" w:name="_Toc93825448"/>
      <w:bookmarkStart w:id="294" w:name="_Toc93825449"/>
      <w:bookmarkStart w:id="295" w:name="_Toc93825450"/>
      <w:bookmarkEnd w:id="291"/>
      <w:bookmarkEnd w:id="292"/>
      <w:bookmarkEnd w:id="293"/>
      <w:bookmarkEnd w:id="294"/>
      <w:bookmarkEnd w:id="295"/>
      <w:r>
        <w:rPr>
          <w:b/>
          <w:szCs w:val="22"/>
        </w:rPr>
        <w:lastRenderedPageBreak/>
        <w:t>A</w:t>
      </w:r>
      <w:r w:rsidR="005261EC">
        <w:rPr>
          <w:b/>
          <w:szCs w:val="22"/>
        </w:rPr>
        <w:t>PPENDIX</w:t>
      </w:r>
      <w:r w:rsidR="00264877">
        <w:rPr>
          <w:b/>
          <w:szCs w:val="22"/>
        </w:rPr>
        <w:t xml:space="preserve"> </w:t>
      </w:r>
      <w:r w:rsidR="00E05A45">
        <w:rPr>
          <w:b/>
          <w:szCs w:val="22"/>
        </w:rPr>
        <w:t>F</w:t>
      </w:r>
    </w:p>
    <w:p w:rsidR="00264877" w:rsidRDefault="00264877" w:rsidP="00264877">
      <w:pPr>
        <w:tabs>
          <w:tab w:val="left" w:pos="1440"/>
        </w:tabs>
        <w:suppressAutoHyphens/>
        <w:spacing w:line="240" w:lineRule="atLeast"/>
        <w:ind w:firstLine="720"/>
        <w:jc w:val="center"/>
        <w:rPr>
          <w:szCs w:val="22"/>
        </w:rPr>
      </w:pPr>
    </w:p>
    <w:p w:rsidR="00264877" w:rsidRPr="007521D5" w:rsidRDefault="00264877" w:rsidP="00264877">
      <w:pPr>
        <w:tabs>
          <w:tab w:val="left" w:pos="1440"/>
        </w:tabs>
        <w:suppressAutoHyphens/>
        <w:spacing w:line="240" w:lineRule="atLeast"/>
        <w:ind w:firstLine="720"/>
        <w:jc w:val="center"/>
        <w:rPr>
          <w:b/>
          <w:spacing w:val="-2"/>
          <w:szCs w:val="22"/>
        </w:rPr>
      </w:pPr>
      <w:r>
        <w:rPr>
          <w:b/>
          <w:spacing w:val="-2"/>
          <w:szCs w:val="22"/>
        </w:rPr>
        <w:t>Final</w:t>
      </w:r>
      <w:r w:rsidRPr="007521D5">
        <w:rPr>
          <w:b/>
          <w:spacing w:val="-2"/>
          <w:szCs w:val="22"/>
        </w:rPr>
        <w:t xml:space="preserve"> Regulatory Flexibility Analysis</w:t>
      </w:r>
    </w:p>
    <w:p w:rsidR="00264877" w:rsidRPr="007521D5" w:rsidRDefault="00264877" w:rsidP="00264877">
      <w:pPr>
        <w:tabs>
          <w:tab w:val="left" w:pos="1440"/>
        </w:tabs>
        <w:suppressAutoHyphens/>
        <w:spacing w:line="240" w:lineRule="atLeast"/>
        <w:ind w:firstLine="720"/>
        <w:jc w:val="center"/>
        <w:rPr>
          <w:b/>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sidRPr="007521D5">
        <w:rPr>
          <w:spacing w:val="-2"/>
          <w:szCs w:val="22"/>
        </w:rPr>
        <w:tab/>
        <w:t xml:space="preserve">As required by the Regulatory Flexibility Act </w:t>
      </w:r>
      <w:r>
        <w:rPr>
          <w:spacing w:val="-2"/>
          <w:szCs w:val="22"/>
        </w:rPr>
        <w:t xml:space="preserve">of 1980, as amended </w:t>
      </w:r>
      <w:r w:rsidRPr="007521D5">
        <w:rPr>
          <w:spacing w:val="-2"/>
          <w:szCs w:val="22"/>
        </w:rPr>
        <w:t>(RFA),</w:t>
      </w:r>
      <w:r>
        <w:rPr>
          <w:rStyle w:val="FootnoteReference"/>
          <w:spacing w:val="-2"/>
          <w:szCs w:val="22"/>
        </w:rPr>
        <w:footnoteReference w:id="151"/>
      </w:r>
      <w:r>
        <w:rPr>
          <w:spacing w:val="-2"/>
          <w:szCs w:val="22"/>
        </w:rPr>
        <w:t xml:space="preserve"> an Initial Regulatory Flexibility Analysis (IRFA) was included in the </w:t>
      </w:r>
      <w:r w:rsidRPr="000A348F">
        <w:rPr>
          <w:i/>
          <w:szCs w:val="22"/>
        </w:rPr>
        <w:t>FY 201</w:t>
      </w:r>
      <w:r>
        <w:rPr>
          <w:i/>
          <w:szCs w:val="22"/>
        </w:rPr>
        <w:t>4</w:t>
      </w:r>
      <w:r w:rsidRPr="000A348F">
        <w:rPr>
          <w:i/>
          <w:szCs w:val="22"/>
        </w:rPr>
        <w:t xml:space="preserve"> NPRM</w:t>
      </w:r>
      <w:r>
        <w:rPr>
          <w:i/>
          <w:szCs w:val="22"/>
        </w:rPr>
        <w:t xml:space="preserve">.  </w:t>
      </w:r>
      <w:r>
        <w:rPr>
          <w:szCs w:val="22"/>
        </w:rPr>
        <w:t>T</w:t>
      </w:r>
      <w:r w:rsidRPr="007521D5">
        <w:rPr>
          <w:spacing w:val="-2"/>
          <w:szCs w:val="22"/>
        </w:rPr>
        <w:t xml:space="preserve">he Commission </w:t>
      </w:r>
      <w:r>
        <w:rPr>
          <w:spacing w:val="-2"/>
          <w:szCs w:val="22"/>
        </w:rPr>
        <w:t xml:space="preserve">sought written public comment on the proposals in the </w:t>
      </w:r>
      <w:r w:rsidRPr="000A348F">
        <w:rPr>
          <w:i/>
          <w:szCs w:val="22"/>
        </w:rPr>
        <w:t>FY 201</w:t>
      </w:r>
      <w:r>
        <w:rPr>
          <w:i/>
          <w:szCs w:val="22"/>
        </w:rPr>
        <w:t>4</w:t>
      </w:r>
      <w:r w:rsidRPr="000A348F">
        <w:rPr>
          <w:i/>
          <w:szCs w:val="22"/>
        </w:rPr>
        <w:t xml:space="preserve"> NPRM</w:t>
      </w:r>
      <w:r>
        <w:rPr>
          <w:szCs w:val="22"/>
        </w:rPr>
        <w:t>, including comment on the IRFA. T</w:t>
      </w:r>
      <w:r w:rsidRPr="007521D5">
        <w:rPr>
          <w:spacing w:val="-2"/>
          <w:szCs w:val="22"/>
        </w:rPr>
        <w:t xml:space="preserve">his </w:t>
      </w:r>
      <w:r>
        <w:rPr>
          <w:spacing w:val="-2"/>
          <w:szCs w:val="22"/>
        </w:rPr>
        <w:t xml:space="preserve">Final </w:t>
      </w:r>
      <w:r w:rsidRPr="007521D5">
        <w:rPr>
          <w:spacing w:val="-2"/>
          <w:szCs w:val="22"/>
        </w:rPr>
        <w:t>Regulatory Flexibility Analysis (</w:t>
      </w:r>
      <w:r>
        <w:rPr>
          <w:spacing w:val="-2"/>
          <w:szCs w:val="22"/>
        </w:rPr>
        <w:t>F</w:t>
      </w:r>
      <w:r w:rsidRPr="007521D5">
        <w:rPr>
          <w:spacing w:val="-2"/>
          <w:szCs w:val="22"/>
        </w:rPr>
        <w:t xml:space="preserve">RFA) </w:t>
      </w:r>
      <w:r>
        <w:rPr>
          <w:spacing w:val="-2"/>
          <w:szCs w:val="22"/>
        </w:rPr>
        <w:t>conforms to the IRFA.</w:t>
      </w:r>
      <w:r>
        <w:rPr>
          <w:rStyle w:val="FootnoteReference"/>
          <w:spacing w:val="-2"/>
          <w:szCs w:val="22"/>
        </w:rPr>
        <w:footnoteReference w:id="152"/>
      </w:r>
      <w:r w:rsidRPr="007521D5">
        <w:rPr>
          <w:spacing w:val="-2"/>
          <w:szCs w:val="22"/>
        </w:rPr>
        <w:t xml:space="preserve"> </w:t>
      </w:r>
    </w:p>
    <w:p w:rsidR="00264877" w:rsidRDefault="00264877" w:rsidP="00264877">
      <w:pPr>
        <w:tabs>
          <w:tab w:val="left" w:pos="1440"/>
        </w:tabs>
        <w:suppressAutoHyphens/>
        <w:spacing w:line="240" w:lineRule="atLeast"/>
        <w:ind w:firstLine="720"/>
        <w:rPr>
          <w:spacing w:val="-2"/>
          <w:szCs w:val="22"/>
        </w:rPr>
      </w:pPr>
      <w:r w:rsidRPr="007521D5">
        <w:rPr>
          <w:spacing w:val="-2"/>
          <w:szCs w:val="22"/>
        </w:rPr>
        <w:t xml:space="preserve"> </w:t>
      </w:r>
      <w:bookmarkStart w:id="296" w:name="_Toc353870731"/>
      <w:bookmarkStart w:id="297" w:name="_Toc353987758"/>
      <w:bookmarkStart w:id="298" w:name="_Toc353988079"/>
      <w:bookmarkStart w:id="299" w:name="_Toc390878817"/>
    </w:p>
    <w:p w:rsidR="00264877" w:rsidRPr="00F95B79" w:rsidRDefault="00264877" w:rsidP="00264877">
      <w:pPr>
        <w:pStyle w:val="Heading2"/>
      </w:pPr>
      <w:r>
        <w:t xml:space="preserve"> </w:t>
      </w:r>
      <w:bookmarkStart w:id="300" w:name="_Toc391364450"/>
      <w:bookmarkStart w:id="301" w:name="_Toc394672338"/>
      <w:bookmarkStart w:id="302" w:name="_Toc397078346"/>
      <w:r w:rsidRPr="00F95B79">
        <w:t xml:space="preserve">Need for, and Objectives of, the </w:t>
      </w:r>
      <w:bookmarkEnd w:id="296"/>
      <w:bookmarkEnd w:id="297"/>
      <w:bookmarkEnd w:id="298"/>
      <w:r w:rsidRPr="00F95B79">
        <w:t>Report and Order</w:t>
      </w:r>
      <w:bookmarkEnd w:id="299"/>
      <w:bookmarkEnd w:id="300"/>
      <w:bookmarkEnd w:id="301"/>
      <w:bookmarkEnd w:id="302"/>
      <w:r w:rsidRPr="00F95B79">
        <w:t xml:space="preserve">  </w:t>
      </w:r>
    </w:p>
    <w:p w:rsidR="00264877" w:rsidRPr="004C189F"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zCs w:val="22"/>
        </w:rPr>
      </w:pPr>
      <w:r w:rsidRPr="007521D5">
        <w:rPr>
          <w:spacing w:val="-2"/>
          <w:szCs w:val="22"/>
        </w:rPr>
        <w:t>2.</w:t>
      </w:r>
      <w:r w:rsidRPr="007521D5">
        <w:rPr>
          <w:spacing w:val="-2"/>
          <w:szCs w:val="22"/>
        </w:rPr>
        <w:tab/>
      </w:r>
      <w:r w:rsidRPr="00A1103B">
        <w:rPr>
          <w:szCs w:val="22"/>
        </w:rPr>
        <w:t xml:space="preserve">In this </w:t>
      </w:r>
      <w:r>
        <w:rPr>
          <w:szCs w:val="22"/>
        </w:rPr>
        <w:t xml:space="preserve">Report and Order, we conclude the Assessment and Collection of Regulatory Fees for Fiscal Year (FY) 2014 proceeding to collect </w:t>
      </w:r>
      <w:r w:rsidRPr="00836FF4">
        <w:rPr>
          <w:szCs w:val="22"/>
        </w:rPr>
        <w:t>$339,844,000</w:t>
      </w:r>
      <w:r>
        <w:rPr>
          <w:szCs w:val="22"/>
        </w:rPr>
        <w:t xml:space="preserve"> in regulatory fees </w:t>
      </w:r>
      <w:r w:rsidRPr="00836FF4">
        <w:rPr>
          <w:szCs w:val="22"/>
        </w:rPr>
        <w:t>for FY 201</w:t>
      </w:r>
      <w:r>
        <w:rPr>
          <w:szCs w:val="22"/>
        </w:rPr>
        <w:t>4</w:t>
      </w:r>
      <w:r w:rsidRPr="00836FF4">
        <w:rPr>
          <w:szCs w:val="22"/>
        </w:rPr>
        <w:t>, pursuant to Section 9 of the Communications Act</w:t>
      </w:r>
      <w:r w:rsidRPr="00B653CB">
        <w:rPr>
          <w:rStyle w:val="FootnoteReference"/>
          <w:szCs w:val="22"/>
        </w:rPr>
        <w:t xml:space="preserve"> </w:t>
      </w:r>
      <w:r>
        <w:rPr>
          <w:rStyle w:val="FootnoteReference"/>
          <w:szCs w:val="22"/>
        </w:rPr>
        <w:t>.</w:t>
      </w:r>
      <w:r w:rsidRPr="00963102">
        <w:rPr>
          <w:rStyle w:val="FootnoteReference"/>
          <w:szCs w:val="22"/>
        </w:rPr>
        <w:footnoteReference w:id="153"/>
      </w:r>
      <w:r w:rsidRPr="00836FF4">
        <w:rPr>
          <w:szCs w:val="22"/>
        </w:rPr>
        <w:t xml:space="preserve"> </w:t>
      </w:r>
      <w:r w:rsidRPr="00C5052D">
        <w:rPr>
          <w:szCs w:val="22"/>
        </w:rPr>
        <w:t xml:space="preserve"> </w:t>
      </w:r>
      <w:r>
        <w:rPr>
          <w:szCs w:val="22"/>
        </w:rPr>
        <w:t>These regulatory fees will be due in September 2014.  Under s</w:t>
      </w:r>
      <w:r w:rsidRPr="00836FF4">
        <w:rPr>
          <w:szCs w:val="22"/>
        </w:rPr>
        <w:t xml:space="preserve">ection 9 </w:t>
      </w:r>
      <w:r>
        <w:rPr>
          <w:szCs w:val="22"/>
        </w:rPr>
        <w:t xml:space="preserve">of the Communications Act, </w:t>
      </w:r>
      <w:r w:rsidRPr="00836FF4">
        <w:rPr>
          <w:szCs w:val="22"/>
        </w:rPr>
        <w:t>regulatory fees are mandated by Congress</w:t>
      </w:r>
      <w:r w:rsidRPr="00963102">
        <w:rPr>
          <w:szCs w:val="22"/>
        </w:rPr>
        <w:t xml:space="preserve"> and collected to recover the regulatory costs associated with the Commission’s enforcement, policy and rulemaking, user information, and international activities</w:t>
      </w:r>
      <w:r>
        <w:rPr>
          <w:szCs w:val="22"/>
        </w:rPr>
        <w:t xml:space="preserve"> </w:t>
      </w:r>
      <w:r w:rsidR="001F650E">
        <w:rPr>
          <w:szCs w:val="22"/>
        </w:rPr>
        <w:t xml:space="preserve">in an amount that can reasonably be expected to equal the </w:t>
      </w:r>
      <w:r>
        <w:rPr>
          <w:szCs w:val="22"/>
        </w:rPr>
        <w:t xml:space="preserve">amount of the Commission’s annual appropriation </w:t>
      </w:r>
      <w:r w:rsidRPr="00963102">
        <w:rPr>
          <w:szCs w:val="22"/>
        </w:rPr>
        <w:t>.</w:t>
      </w:r>
      <w:r w:rsidRPr="00963102">
        <w:rPr>
          <w:rStyle w:val="FootnoteReference"/>
          <w:szCs w:val="22"/>
        </w:rPr>
        <w:footnoteReference w:id="154"/>
      </w:r>
      <w:r w:rsidRPr="00C5052D">
        <w:rPr>
          <w:szCs w:val="22"/>
        </w:rPr>
        <w:t xml:space="preserve">  </w:t>
      </w:r>
      <w:r w:rsidRPr="00A1103B">
        <w:rPr>
          <w:szCs w:val="22"/>
        </w:rPr>
        <w:t xml:space="preserve">  </w:t>
      </w:r>
    </w:p>
    <w:p w:rsidR="00264877" w:rsidRDefault="00264877" w:rsidP="00264877">
      <w:pPr>
        <w:tabs>
          <w:tab w:val="left" w:pos="1440"/>
        </w:tabs>
        <w:suppressAutoHyphens/>
        <w:spacing w:line="240" w:lineRule="atLeast"/>
        <w:ind w:firstLine="720"/>
        <w:rPr>
          <w:szCs w:val="22"/>
        </w:rPr>
      </w:pPr>
    </w:p>
    <w:p w:rsidR="00CC5C79" w:rsidRDefault="00264877" w:rsidP="00CC5C79">
      <w:pPr>
        <w:tabs>
          <w:tab w:val="left" w:pos="1440"/>
        </w:tabs>
        <w:suppressAutoHyphens/>
        <w:spacing w:line="240" w:lineRule="atLeast"/>
        <w:ind w:firstLine="720"/>
      </w:pPr>
      <w:r>
        <w:rPr>
          <w:szCs w:val="22"/>
        </w:rPr>
        <w:t>3.</w:t>
      </w:r>
      <w:r>
        <w:rPr>
          <w:szCs w:val="22"/>
        </w:rPr>
        <w:tab/>
      </w:r>
      <w:r w:rsidR="00C74129">
        <w:t xml:space="preserve">In our </w:t>
      </w:r>
      <w:r w:rsidR="00C74129" w:rsidRPr="00A50CDF">
        <w:rPr>
          <w:i/>
        </w:rPr>
        <w:t>FY 2014 NPRM</w:t>
      </w:r>
      <w:r w:rsidR="00C74129">
        <w:t xml:space="preserve">, we sought comment on proposed regulatory fees and on whether </w:t>
      </w:r>
      <w:r w:rsidR="00C74129" w:rsidRPr="00F974C9">
        <w:t xml:space="preserve">AM expanded band radio stations </w:t>
      </w:r>
      <w:r w:rsidR="00C74129">
        <w:t xml:space="preserve">should remain </w:t>
      </w:r>
      <w:r w:rsidR="00C74129" w:rsidRPr="00F974C9">
        <w:t>exempt from regulatory fees</w:t>
      </w:r>
      <w:r w:rsidR="00C74129">
        <w:t>.  In addition, we sought c</w:t>
      </w:r>
      <w:r w:rsidR="00C74129" w:rsidRPr="00A438CD">
        <w:t xml:space="preserve">omment on </w:t>
      </w:r>
      <w:r w:rsidR="00C74129">
        <w:t xml:space="preserve">additional </w:t>
      </w:r>
      <w:r w:rsidR="00C74129" w:rsidRPr="00A438CD">
        <w:t>reform</w:t>
      </w:r>
      <w:r w:rsidR="00C74129">
        <w:t xml:space="preserve"> measures including</w:t>
      </w:r>
      <w:r w:rsidR="00C74129" w:rsidRPr="00A438CD">
        <w:t xml:space="preserve">: </w:t>
      </w:r>
      <w:r w:rsidR="00C74129">
        <w:t xml:space="preserve"> (1) </w:t>
      </w:r>
      <w:r w:rsidR="00C74129" w:rsidRPr="00A438CD">
        <w:t>reallocat</w:t>
      </w:r>
      <w:r w:rsidR="00C74129">
        <w:t>ing</w:t>
      </w:r>
      <w:r w:rsidR="00C74129" w:rsidRPr="00A438CD">
        <w:t xml:space="preserve"> </w:t>
      </w:r>
      <w:r w:rsidR="00C74129">
        <w:t xml:space="preserve">some of the </w:t>
      </w:r>
      <w:r w:rsidR="00C74129" w:rsidRPr="00A438CD">
        <w:t>FTEs from the Enforcement Bureau</w:t>
      </w:r>
      <w:r w:rsidR="00C74129">
        <w:t xml:space="preserve">, </w:t>
      </w:r>
      <w:r w:rsidR="00C74129" w:rsidRPr="00A438CD">
        <w:t>the Consumer &amp; Governmental Affairs Bureau</w:t>
      </w:r>
      <w:r w:rsidR="00C74129">
        <w:t>, and the Office of Engineering and Technology,</w:t>
      </w:r>
      <w:r w:rsidR="00C74129" w:rsidRPr="00A438CD">
        <w:t xml:space="preserve"> </w:t>
      </w:r>
      <w:r w:rsidR="00C74129">
        <w:t>as direct FTEs for regulatory fee purposes</w:t>
      </w:r>
      <w:r w:rsidR="00C74129" w:rsidRPr="00A438CD">
        <w:t>;</w:t>
      </w:r>
      <w:r w:rsidR="00C74129">
        <w:t xml:space="preserve"> (2) reapportioning the fee allocations</w:t>
      </w:r>
      <w:r w:rsidR="00C74129" w:rsidRPr="00F92838">
        <w:t xml:space="preserve"> between groups of </w:t>
      </w:r>
      <w:r w:rsidR="00C74129">
        <w:t>International Bureau</w:t>
      </w:r>
      <w:r w:rsidR="00C74129" w:rsidRPr="00F92838">
        <w:t xml:space="preserve"> </w:t>
      </w:r>
      <w:r w:rsidR="00C74129">
        <w:t>regulatees;</w:t>
      </w:r>
      <w:r w:rsidR="00C74129" w:rsidRPr="00A438CD">
        <w:t xml:space="preserve"> </w:t>
      </w:r>
      <w:r w:rsidR="00C74129">
        <w:t>(3) p</w:t>
      </w:r>
      <w:r w:rsidR="00C74129" w:rsidRPr="00A438CD">
        <w:t xml:space="preserve">eriodically </w:t>
      </w:r>
      <w:r w:rsidR="00C74129">
        <w:t>updating</w:t>
      </w:r>
      <w:r w:rsidR="00C74129" w:rsidRPr="00A438CD">
        <w:t xml:space="preserve"> </w:t>
      </w:r>
      <w:r w:rsidR="00C74129">
        <w:t xml:space="preserve">FTE </w:t>
      </w:r>
      <w:r w:rsidR="00C74129" w:rsidRPr="00A438CD">
        <w:t xml:space="preserve">allocations; </w:t>
      </w:r>
      <w:r w:rsidR="00C74129">
        <w:t xml:space="preserve">(4) applying a cap on any regulatory fee increases for FY 2014; (5) </w:t>
      </w:r>
      <w:r w:rsidR="00C74129" w:rsidRPr="00A438CD">
        <w:t>improv</w:t>
      </w:r>
      <w:r w:rsidR="00C74129">
        <w:t>ing</w:t>
      </w:r>
      <w:r w:rsidR="00C74129" w:rsidRPr="00A438CD">
        <w:t xml:space="preserve"> access to </w:t>
      </w:r>
      <w:r w:rsidR="00C74129">
        <w:t>information through our website; (6) establishing a higher de minimis amount; (7) eliminating certain regulatory fee categories; (8) combining</w:t>
      </w:r>
      <w:r w:rsidR="00C74129" w:rsidRPr="00A438CD">
        <w:t xml:space="preserve"> ITSP and wireless voice services into one fee category; </w:t>
      </w:r>
      <w:r w:rsidR="00C74129">
        <w:t xml:space="preserve">(9) adding </w:t>
      </w:r>
      <w:r w:rsidR="00C74129" w:rsidRPr="00A438CD">
        <w:t xml:space="preserve">DBS </w:t>
      </w:r>
      <w:r w:rsidR="00C74129">
        <w:t>operators  to the cable television and IPTV category</w:t>
      </w:r>
      <w:r w:rsidR="00C74129" w:rsidRPr="00A438CD">
        <w:t>;</w:t>
      </w:r>
      <w:r w:rsidR="00C74129">
        <w:t xml:space="preserve"> (10) </w:t>
      </w:r>
      <w:r w:rsidR="00C74129" w:rsidRPr="00A438CD">
        <w:t>creat</w:t>
      </w:r>
      <w:r w:rsidR="00C74129">
        <w:t>ing</w:t>
      </w:r>
      <w:r w:rsidR="00C74129" w:rsidRPr="00A438CD">
        <w:t xml:space="preserve"> a new regulatory fee category for non-U.S. licensed space stations</w:t>
      </w:r>
      <w:r w:rsidR="00C74129">
        <w:t>, or, alternatively, reallocating some FTEs assigned to work on non-U.S. licensed space station issues as indirect for regulatory fee purposes; and (11) adding a new regulatory fee category for toll free numbers.  Some of these issues had been raised in earlier regulatory fee proceedings and other issues were discussed for the first time as part of our reform process.</w:t>
      </w:r>
    </w:p>
    <w:p w:rsidR="00CC5C79" w:rsidRDefault="00CC5C79" w:rsidP="00CC5C79">
      <w:pPr>
        <w:tabs>
          <w:tab w:val="left" w:pos="1440"/>
        </w:tabs>
        <w:suppressAutoHyphens/>
        <w:spacing w:line="240" w:lineRule="atLeast"/>
        <w:ind w:firstLine="720"/>
      </w:pPr>
    </w:p>
    <w:p w:rsidR="00CC5C79" w:rsidRPr="00CC5C79" w:rsidRDefault="00CC5C79" w:rsidP="00CC5C79">
      <w:pPr>
        <w:tabs>
          <w:tab w:val="left" w:pos="1440"/>
        </w:tabs>
        <w:suppressAutoHyphens/>
        <w:spacing w:line="240" w:lineRule="atLeast"/>
        <w:ind w:firstLine="720"/>
      </w:pPr>
      <w:r>
        <w:t>4.</w:t>
      </w:r>
      <w:r>
        <w:tab/>
      </w:r>
      <w:r w:rsidRPr="00CC5C79">
        <w:t>The</w:t>
      </w:r>
      <w:r>
        <w:t xml:space="preserve"> Report and Order adopts some of the proposals from the </w:t>
      </w:r>
      <w:r w:rsidRPr="00177232">
        <w:rPr>
          <w:i/>
        </w:rPr>
        <w:t>FY 2014 NPRM</w:t>
      </w:r>
      <w:r>
        <w:t xml:space="preserve">.  Specifically, in addition to adopting the proposed new regulatory fee rates, the Commission (1) removes the exemption on  regulatory fees from AM expanded band licenses; (2) revises the apportionment between the submarine cable/terrestrial and satellite bearer circuits and the satellite/earth stations by </w:t>
      </w:r>
      <w:r w:rsidR="00177232">
        <w:t>approximately five</w:t>
      </w:r>
      <w:r>
        <w:t xml:space="preserve"> percent to reduce the proportion paid by the submarine cable/terrestrial and satellite bearer circuits; (3) increases the allocation paid by earth stations </w:t>
      </w:r>
      <w:r w:rsidR="00177232">
        <w:t xml:space="preserve">and satellites </w:t>
      </w:r>
      <w:r>
        <w:t xml:space="preserve">by </w:t>
      </w:r>
      <w:r w:rsidR="00177232">
        <w:t xml:space="preserve">approximately </w:t>
      </w:r>
      <w:r>
        <w:t xml:space="preserve">7.5 percent to more accurately reflect the regulation and oversight of this industry; (4) increases the de minimis threshold from $10 to $500 (to go into effect for FY 2015); (5) eliminates several regulatory fee categories (218-219 MHz, broadcast auxiliaries, and satellite television construction permits) from </w:t>
      </w:r>
      <w:r>
        <w:lastRenderedPageBreak/>
        <w:t>regulatory fee requirements (to go into effect for FY 2015)</w:t>
      </w:r>
      <w:r w:rsidR="00CE1CC1">
        <w:t>; and (6) adopts a new toll free number regulatory fee category (to go into effect for FY 2015)</w:t>
      </w:r>
      <w:r>
        <w:t xml:space="preserve">.    </w:t>
      </w:r>
    </w:p>
    <w:p w:rsidR="00264877" w:rsidRDefault="00264877" w:rsidP="00264877">
      <w:pPr>
        <w:tabs>
          <w:tab w:val="left" w:pos="1440"/>
        </w:tabs>
        <w:suppressAutoHyphens/>
        <w:spacing w:line="240" w:lineRule="atLeast"/>
        <w:ind w:firstLine="720"/>
        <w:rPr>
          <w:spacing w:val="-2"/>
          <w:szCs w:val="22"/>
        </w:rPr>
      </w:pPr>
      <w:bookmarkStart w:id="303" w:name="_Toc390878818"/>
    </w:p>
    <w:p w:rsidR="00264877" w:rsidRDefault="00264877" w:rsidP="00264877">
      <w:pPr>
        <w:tabs>
          <w:tab w:val="left" w:pos="1440"/>
        </w:tabs>
        <w:suppressAutoHyphens/>
        <w:spacing w:line="240" w:lineRule="atLeast"/>
        <w:ind w:firstLine="720"/>
        <w:rPr>
          <w:spacing w:val="-2"/>
          <w:szCs w:val="22"/>
        </w:rPr>
      </w:pPr>
    </w:p>
    <w:p w:rsidR="00264877" w:rsidRPr="00F95B79" w:rsidRDefault="00264877" w:rsidP="00264877">
      <w:pPr>
        <w:pStyle w:val="Heading2"/>
        <w:rPr>
          <w:spacing w:val="-2"/>
          <w:szCs w:val="22"/>
        </w:rPr>
      </w:pPr>
      <w:bookmarkStart w:id="304" w:name="_Toc391364451"/>
      <w:bookmarkStart w:id="305" w:name="_Toc394672339"/>
      <w:bookmarkStart w:id="306" w:name="_Toc397078347"/>
      <w:r w:rsidRPr="00F95B79">
        <w:t>Summary of the Significant Issues Raised by the Public Comments in Response to the IRFA</w:t>
      </w:r>
      <w:bookmarkEnd w:id="303"/>
      <w:bookmarkEnd w:id="304"/>
      <w:bookmarkEnd w:id="305"/>
      <w:bookmarkEnd w:id="306"/>
    </w:p>
    <w:p w:rsidR="00264877" w:rsidRPr="00F95B79" w:rsidRDefault="00264877" w:rsidP="00264877">
      <w:pPr>
        <w:tabs>
          <w:tab w:val="left" w:pos="1440"/>
        </w:tabs>
        <w:suppressAutoHyphens/>
        <w:spacing w:line="240" w:lineRule="atLeast"/>
        <w:ind w:firstLine="720"/>
        <w:jc w:val="center"/>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5</w:t>
      </w:r>
      <w:r w:rsidRPr="007521D5">
        <w:rPr>
          <w:spacing w:val="-2"/>
          <w:szCs w:val="22"/>
        </w:rPr>
        <w:t>.</w:t>
      </w:r>
      <w:r w:rsidRPr="007521D5">
        <w:rPr>
          <w:spacing w:val="-2"/>
          <w:szCs w:val="22"/>
        </w:rPr>
        <w:tab/>
      </w:r>
      <w:bookmarkStart w:id="307" w:name="_Toc390878819"/>
      <w:r>
        <w:rPr>
          <w:spacing w:val="-2"/>
          <w:szCs w:val="22"/>
        </w:rPr>
        <w:t>None.</w:t>
      </w:r>
    </w:p>
    <w:p w:rsidR="00264877" w:rsidRDefault="00264877" w:rsidP="00264877">
      <w:pPr>
        <w:tabs>
          <w:tab w:val="left" w:pos="1440"/>
        </w:tabs>
        <w:suppressAutoHyphens/>
        <w:spacing w:line="240" w:lineRule="atLeast"/>
        <w:rPr>
          <w:spacing w:val="-2"/>
          <w:szCs w:val="22"/>
        </w:rPr>
      </w:pPr>
    </w:p>
    <w:p w:rsidR="00264877" w:rsidRPr="004C189F" w:rsidRDefault="00264877" w:rsidP="00264877">
      <w:pPr>
        <w:pStyle w:val="Heading2"/>
        <w:rPr>
          <w:spacing w:val="-2"/>
          <w:szCs w:val="22"/>
        </w:rPr>
      </w:pPr>
      <w:bookmarkStart w:id="308" w:name="_Toc391364452"/>
      <w:bookmarkStart w:id="309" w:name="_Toc394672340"/>
      <w:bookmarkStart w:id="310" w:name="_Toc397078348"/>
      <w:r w:rsidRPr="00F95B79">
        <w:t>Description and Estimate of the Number of Small Entities to Which the Rules Will Apply</w:t>
      </w:r>
      <w:r w:rsidRPr="00100F78">
        <w:t>:</w:t>
      </w:r>
      <w:bookmarkEnd w:id="307"/>
      <w:bookmarkEnd w:id="308"/>
      <w:bookmarkEnd w:id="309"/>
      <w:bookmarkEnd w:id="310"/>
    </w:p>
    <w:p w:rsidR="00264877" w:rsidRPr="007521D5" w:rsidRDefault="00264877" w:rsidP="00264877">
      <w:pPr>
        <w:tabs>
          <w:tab w:val="left" w:pos="1440"/>
        </w:tabs>
        <w:suppressAutoHyphens/>
        <w:spacing w:line="240" w:lineRule="atLeast"/>
        <w:ind w:firstLine="720"/>
        <w:jc w:val="center"/>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6</w:t>
      </w:r>
      <w:r w:rsidRPr="007521D5">
        <w:rPr>
          <w:spacing w:val="-2"/>
          <w:szCs w:val="22"/>
        </w:rPr>
        <w:t>.</w:t>
      </w:r>
      <w:r w:rsidRPr="007521D5">
        <w:rPr>
          <w:spacing w:val="-2"/>
          <w:szCs w:val="22"/>
        </w:rPr>
        <w:tab/>
        <w:t>The RFA directs agencies to provide a description of, and where feasible, an estimate of the number of small entities that may be affected by the proposed rules and policies, if adopted.</w:t>
      </w:r>
      <w:r>
        <w:rPr>
          <w:rStyle w:val="FootnoteReference"/>
          <w:spacing w:val="-2"/>
          <w:szCs w:val="22"/>
        </w:rPr>
        <w:footnoteReference w:id="155"/>
      </w:r>
      <w:r>
        <w:rPr>
          <w:spacing w:val="-2"/>
          <w:szCs w:val="22"/>
        </w:rPr>
        <w:t xml:space="preserve">  </w:t>
      </w:r>
      <w:r w:rsidRPr="007521D5">
        <w:rPr>
          <w:spacing w:val="-2"/>
          <w:szCs w:val="22"/>
        </w:rPr>
        <w:t>The RFA generally defines the term “small entity” as having the same meaning as the terms “small business,” “small organization,” and “small governmental jurisdiction.”</w:t>
      </w:r>
      <w:r>
        <w:rPr>
          <w:rStyle w:val="FootnoteReference"/>
          <w:spacing w:val="-2"/>
          <w:szCs w:val="22"/>
        </w:rPr>
        <w:footnoteReference w:id="156"/>
      </w:r>
      <w:r>
        <w:rPr>
          <w:spacing w:val="-2"/>
          <w:szCs w:val="22"/>
        </w:rPr>
        <w:t xml:space="preserve"> </w:t>
      </w:r>
      <w:r w:rsidRPr="007521D5">
        <w:rPr>
          <w:spacing w:val="-2"/>
          <w:szCs w:val="22"/>
        </w:rPr>
        <w:t xml:space="preserve"> In addition, the term “small business” has the same meaning as the term “small business concern” under the Small Business Act.</w:t>
      </w:r>
      <w:r>
        <w:rPr>
          <w:rStyle w:val="FootnoteReference"/>
          <w:spacing w:val="-2"/>
          <w:szCs w:val="22"/>
        </w:rPr>
        <w:footnoteReference w:id="157"/>
      </w:r>
      <w:r w:rsidRPr="007521D5">
        <w:rPr>
          <w:spacing w:val="-2"/>
          <w:szCs w:val="22"/>
        </w:rPr>
        <w:t xml:space="preserve">  A “small business concern” is one which: (1) is independently owned and operated; (2) is not dominant in its field of operation; and (3) satisfies any additional criteria established by the SBA.</w:t>
      </w:r>
      <w:r>
        <w:rPr>
          <w:rStyle w:val="FootnoteReference"/>
          <w:spacing w:val="-2"/>
          <w:szCs w:val="22"/>
        </w:rPr>
        <w:footnoteReference w:id="158"/>
      </w:r>
      <w:r w:rsidRPr="007521D5">
        <w:rPr>
          <w:spacing w:val="-2"/>
          <w:szCs w:val="22"/>
        </w:rPr>
        <w:t xml:space="preserve"> </w:t>
      </w:r>
      <w:r>
        <w:rPr>
          <w:spacing w:val="-2"/>
          <w:szCs w:val="22"/>
        </w:rPr>
        <w:t xml:space="preserve"> </w:t>
      </w:r>
      <w:r w:rsidRPr="007521D5">
        <w:rPr>
          <w:spacing w:val="-2"/>
          <w:szCs w:val="22"/>
        </w:rPr>
        <w:t>Nationwide, there are a total of approximately 2</w:t>
      </w:r>
      <w:r>
        <w:rPr>
          <w:spacing w:val="-2"/>
          <w:szCs w:val="22"/>
        </w:rPr>
        <w:t>7.9</w:t>
      </w:r>
      <w:r w:rsidRPr="007521D5">
        <w:rPr>
          <w:spacing w:val="-2"/>
          <w:szCs w:val="22"/>
        </w:rPr>
        <w:t xml:space="preserve"> million small businesses, according to the SBA.</w:t>
      </w:r>
      <w:r>
        <w:rPr>
          <w:rStyle w:val="FootnoteReference"/>
          <w:spacing w:val="-2"/>
          <w:szCs w:val="22"/>
        </w:rPr>
        <w:footnoteReference w:id="159"/>
      </w:r>
      <w:r w:rsidRPr="007521D5">
        <w:rPr>
          <w:spacing w:val="-2"/>
          <w:szCs w:val="22"/>
        </w:rPr>
        <w:t xml:space="preserve">   </w:t>
      </w:r>
    </w:p>
    <w:p w:rsidR="00264877" w:rsidRPr="007521D5"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8</w:t>
      </w:r>
      <w:r w:rsidRPr="007521D5">
        <w:rPr>
          <w:spacing w:val="-2"/>
          <w:szCs w:val="22"/>
        </w:rPr>
        <w:t>.</w:t>
      </w:r>
      <w:r w:rsidRPr="007521D5">
        <w:rPr>
          <w:spacing w:val="-2"/>
          <w:szCs w:val="22"/>
        </w:rPr>
        <w:tab/>
      </w:r>
      <w:r w:rsidRPr="000942B2">
        <w:rPr>
          <w:b/>
          <w:spacing w:val="-2"/>
          <w:szCs w:val="22"/>
        </w:rPr>
        <w:t>Wired Telecommunications Carriers</w:t>
      </w:r>
      <w:r w:rsidRPr="000942B2">
        <w:rPr>
          <w:spacing w:val="-2"/>
          <w:szCs w:val="22"/>
        </w:rPr>
        <w:t>. The SBA has developed a small business size</w:t>
      </w:r>
      <w:r>
        <w:rPr>
          <w:spacing w:val="-2"/>
          <w:szCs w:val="22"/>
        </w:rPr>
        <w:t xml:space="preserve"> </w:t>
      </w:r>
      <w:r w:rsidRPr="000942B2">
        <w:rPr>
          <w:spacing w:val="-2"/>
          <w:szCs w:val="22"/>
        </w:rPr>
        <w:t>standard for Wired Telecommunications Carriers, which consists of all such companies having 1,500 or</w:t>
      </w:r>
      <w:r>
        <w:rPr>
          <w:spacing w:val="-2"/>
          <w:szCs w:val="22"/>
        </w:rPr>
        <w:t xml:space="preserve"> </w:t>
      </w:r>
      <w:r w:rsidRPr="000942B2">
        <w:rPr>
          <w:spacing w:val="-2"/>
          <w:szCs w:val="22"/>
        </w:rPr>
        <w:t>fewer employees</w:t>
      </w:r>
      <w:r>
        <w:rPr>
          <w:spacing w:val="-2"/>
          <w:szCs w:val="22"/>
        </w:rPr>
        <w:t xml:space="preserve">. </w:t>
      </w:r>
      <w:r w:rsidRPr="000942B2">
        <w:rPr>
          <w:spacing w:val="-2"/>
          <w:szCs w:val="22"/>
        </w:rPr>
        <w:t xml:space="preserve"> Census data for 2007 shows that there were 31,996 establishments that operated that</w:t>
      </w:r>
      <w:r>
        <w:rPr>
          <w:spacing w:val="-2"/>
          <w:szCs w:val="22"/>
        </w:rPr>
        <w:t xml:space="preserve"> </w:t>
      </w:r>
      <w:r w:rsidRPr="000942B2">
        <w:rPr>
          <w:spacing w:val="-2"/>
          <w:szCs w:val="22"/>
        </w:rPr>
        <w:t xml:space="preserve">year. </w:t>
      </w:r>
      <w:r>
        <w:rPr>
          <w:spacing w:val="-2"/>
          <w:szCs w:val="22"/>
        </w:rPr>
        <w:t xml:space="preserve"> </w:t>
      </w:r>
      <w:r w:rsidRPr="000942B2">
        <w:rPr>
          <w:spacing w:val="-2"/>
          <w:szCs w:val="22"/>
        </w:rPr>
        <w:t>Of those 31,996, 1,818 operated with more than 100 employees, and 30,178 operated with fewer</w:t>
      </w:r>
      <w:r>
        <w:rPr>
          <w:spacing w:val="-2"/>
          <w:szCs w:val="22"/>
        </w:rPr>
        <w:t xml:space="preserve"> </w:t>
      </w:r>
      <w:r w:rsidRPr="000942B2">
        <w:rPr>
          <w:spacing w:val="-2"/>
          <w:szCs w:val="22"/>
        </w:rPr>
        <w:t>than 100 employees.</w:t>
      </w:r>
      <w:r>
        <w:rPr>
          <w:rStyle w:val="FootnoteReference"/>
          <w:spacing w:val="-2"/>
          <w:szCs w:val="22"/>
        </w:rPr>
        <w:footnoteReference w:id="160"/>
      </w:r>
      <w:r w:rsidRPr="000942B2">
        <w:rPr>
          <w:spacing w:val="-2"/>
          <w:szCs w:val="22"/>
        </w:rPr>
        <w:t xml:space="preserve">  Thus, under this size standard, the majority of firms can be considered small.</w:t>
      </w:r>
    </w:p>
    <w:p w:rsidR="00264877" w:rsidRDefault="00264877" w:rsidP="00264877">
      <w:pPr>
        <w:tabs>
          <w:tab w:val="left" w:pos="1440"/>
        </w:tabs>
        <w:suppressAutoHyphens/>
        <w:spacing w:line="240" w:lineRule="atLeast"/>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9.</w:t>
      </w:r>
      <w:r>
        <w:rPr>
          <w:spacing w:val="-2"/>
          <w:szCs w:val="22"/>
        </w:rPr>
        <w:tab/>
      </w:r>
      <w:r w:rsidRPr="00703D26">
        <w:rPr>
          <w:b/>
          <w:spacing w:val="-2"/>
          <w:szCs w:val="22"/>
        </w:rPr>
        <w:t>Local Exchange Carriers (LECs)</w:t>
      </w:r>
      <w:r w:rsidRPr="00AE4963">
        <w:rPr>
          <w:spacing w:val="-2"/>
          <w:szCs w:val="22"/>
        </w:rPr>
        <w:t xml:space="preserve">. </w:t>
      </w:r>
      <w:r>
        <w:rPr>
          <w:spacing w:val="-2"/>
          <w:szCs w:val="22"/>
        </w:rPr>
        <w:t xml:space="preserve"> </w:t>
      </w:r>
      <w:r w:rsidRPr="00AE4963">
        <w:rPr>
          <w:spacing w:val="-2"/>
          <w:szCs w:val="22"/>
        </w:rPr>
        <w:t>Neither the Commission nor the SBA has developed</w:t>
      </w:r>
      <w:r>
        <w:rPr>
          <w:spacing w:val="-2"/>
          <w:szCs w:val="22"/>
        </w:rPr>
        <w:t xml:space="preserve"> </w:t>
      </w:r>
      <w:r w:rsidRPr="00AE4963">
        <w:rPr>
          <w:spacing w:val="-2"/>
          <w:szCs w:val="22"/>
        </w:rPr>
        <w:t xml:space="preserve">a size standard for small businesses specifically applicable to local exchange services. </w:t>
      </w:r>
      <w:r>
        <w:rPr>
          <w:spacing w:val="-2"/>
          <w:szCs w:val="22"/>
        </w:rPr>
        <w:t xml:space="preserve"> </w:t>
      </w:r>
      <w:r w:rsidRPr="00AE4963">
        <w:rPr>
          <w:spacing w:val="-2"/>
          <w:szCs w:val="22"/>
        </w:rPr>
        <w:t>The closest</w:t>
      </w:r>
      <w:r>
        <w:rPr>
          <w:spacing w:val="-2"/>
          <w:szCs w:val="22"/>
        </w:rPr>
        <w:t xml:space="preserve"> </w:t>
      </w:r>
      <w:r w:rsidRPr="00AE4963">
        <w:rPr>
          <w:spacing w:val="-2"/>
          <w:szCs w:val="22"/>
        </w:rPr>
        <w:t xml:space="preserve">applicable size standard under SBA rules is for Wired Telecommunications Carriers. </w:t>
      </w:r>
      <w:r>
        <w:rPr>
          <w:spacing w:val="-2"/>
          <w:szCs w:val="22"/>
        </w:rPr>
        <w:t xml:space="preserve"> </w:t>
      </w:r>
      <w:r w:rsidRPr="00AE4963">
        <w:rPr>
          <w:spacing w:val="-2"/>
          <w:szCs w:val="22"/>
        </w:rPr>
        <w:t>Under that size</w:t>
      </w:r>
      <w:r>
        <w:rPr>
          <w:spacing w:val="-2"/>
          <w:szCs w:val="22"/>
        </w:rPr>
        <w:t xml:space="preserve"> </w:t>
      </w:r>
      <w:r w:rsidRPr="00AE4963">
        <w:rPr>
          <w:spacing w:val="-2"/>
          <w:szCs w:val="22"/>
        </w:rPr>
        <w:t xml:space="preserve">standard, such a business is small if it </w:t>
      </w:r>
      <w:r>
        <w:rPr>
          <w:spacing w:val="-2"/>
          <w:szCs w:val="22"/>
        </w:rPr>
        <w:t>has 1,500 or fewer employees.</w:t>
      </w:r>
      <w:r>
        <w:rPr>
          <w:rStyle w:val="FootnoteReference"/>
          <w:spacing w:val="-2"/>
          <w:szCs w:val="22"/>
        </w:rPr>
        <w:footnoteReference w:id="161"/>
      </w:r>
      <w:r>
        <w:rPr>
          <w:spacing w:val="-2"/>
          <w:szCs w:val="22"/>
        </w:rPr>
        <w:t xml:space="preserve">  </w:t>
      </w:r>
      <w:r w:rsidRPr="00AE4963">
        <w:rPr>
          <w:spacing w:val="-2"/>
          <w:szCs w:val="22"/>
        </w:rPr>
        <w:t>According to Commission data,</w:t>
      </w:r>
      <w:r>
        <w:rPr>
          <w:spacing w:val="-2"/>
          <w:szCs w:val="22"/>
        </w:rPr>
        <w:t xml:space="preserve"> c</w:t>
      </w:r>
      <w:r w:rsidRPr="00AE4963">
        <w:rPr>
          <w:spacing w:val="-2"/>
          <w:szCs w:val="22"/>
        </w:rPr>
        <w:t>ensus data for 2007 shows that there were 31,996 establishments that operated that year. Of those</w:t>
      </w:r>
      <w:r>
        <w:rPr>
          <w:spacing w:val="-2"/>
          <w:szCs w:val="22"/>
        </w:rPr>
        <w:t xml:space="preserve"> </w:t>
      </w:r>
      <w:r w:rsidRPr="00AE4963">
        <w:rPr>
          <w:spacing w:val="-2"/>
          <w:szCs w:val="22"/>
        </w:rPr>
        <w:t>31,996, 1,818 operated with more than 100 employees, and 30,178 operated with fewer than 100</w:t>
      </w:r>
      <w:r>
        <w:rPr>
          <w:spacing w:val="-2"/>
          <w:szCs w:val="22"/>
        </w:rPr>
        <w:t xml:space="preserve"> employees.</w:t>
      </w:r>
      <w:r>
        <w:rPr>
          <w:rStyle w:val="FootnoteReference"/>
          <w:spacing w:val="-2"/>
          <w:szCs w:val="22"/>
        </w:rPr>
        <w:footnoteReference w:id="162"/>
      </w:r>
      <w:r>
        <w:rPr>
          <w:spacing w:val="-2"/>
          <w:szCs w:val="22"/>
        </w:rPr>
        <w:t xml:space="preserve">  T</w:t>
      </w:r>
      <w:r w:rsidRPr="00AE4963">
        <w:rPr>
          <w:spacing w:val="-2"/>
          <w:szCs w:val="22"/>
        </w:rPr>
        <w:t xml:space="preserve">he Commission </w:t>
      </w:r>
      <w:r w:rsidRPr="00AE4963">
        <w:rPr>
          <w:spacing w:val="-2"/>
          <w:szCs w:val="22"/>
        </w:rPr>
        <w:lastRenderedPageBreak/>
        <w:t>estimates that most providers of local exchange service are</w:t>
      </w:r>
      <w:r>
        <w:rPr>
          <w:spacing w:val="-2"/>
          <w:szCs w:val="22"/>
        </w:rPr>
        <w:t xml:space="preserve"> </w:t>
      </w:r>
      <w:r w:rsidRPr="00AE4963">
        <w:rPr>
          <w:spacing w:val="-2"/>
          <w:szCs w:val="22"/>
        </w:rPr>
        <w:t xml:space="preserve">small entities that may be affected by the rules and policies </w:t>
      </w:r>
      <w:r>
        <w:rPr>
          <w:spacing w:val="-2"/>
          <w:szCs w:val="22"/>
        </w:rPr>
        <w:t>adopted</w:t>
      </w:r>
      <w:r w:rsidRPr="00AE4963">
        <w:rPr>
          <w:spacing w:val="-2"/>
          <w:szCs w:val="22"/>
        </w:rPr>
        <w:t>.</w:t>
      </w:r>
    </w:p>
    <w:p w:rsidR="00264877" w:rsidRPr="007521D5"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Pr>
          <w:spacing w:val="-2"/>
          <w:szCs w:val="22"/>
        </w:rPr>
        <w:t>0</w:t>
      </w:r>
      <w:r w:rsidRPr="007521D5">
        <w:rPr>
          <w:spacing w:val="-2"/>
          <w:szCs w:val="22"/>
        </w:rPr>
        <w:t>.</w:t>
      </w:r>
      <w:r w:rsidRPr="007521D5">
        <w:rPr>
          <w:spacing w:val="-2"/>
          <w:szCs w:val="22"/>
        </w:rPr>
        <w:tab/>
      </w:r>
      <w:r w:rsidRPr="00DD099F">
        <w:rPr>
          <w:b/>
          <w:spacing w:val="-2"/>
          <w:szCs w:val="22"/>
        </w:rPr>
        <w:t>Incumbent</w:t>
      </w:r>
      <w:r>
        <w:rPr>
          <w:b/>
          <w:spacing w:val="-2"/>
          <w:szCs w:val="22"/>
        </w:rPr>
        <w:t xml:space="preserve"> LECs.</w:t>
      </w:r>
      <w:r w:rsidRPr="007521D5">
        <w:rPr>
          <w:spacing w:val="-2"/>
          <w:szCs w:val="22"/>
        </w:rPr>
        <w:t xml:space="preserve">  Neither the Commission nor the SBA has developed a small business size standard specifically for incumbent local exchange services.  The </w:t>
      </w:r>
      <w:r>
        <w:rPr>
          <w:spacing w:val="-2"/>
          <w:szCs w:val="22"/>
        </w:rPr>
        <w:t xml:space="preserve">closest applicable </w:t>
      </w:r>
      <w:r w:rsidRPr="007521D5">
        <w:rPr>
          <w:spacing w:val="-2"/>
          <w:szCs w:val="22"/>
        </w:rPr>
        <w:t>size standard under SBA rules is for the category Wired Telecommunications Carriers.  Under that size standard, such a business is small if it has 1,500 or fewer employees.</w:t>
      </w:r>
      <w:r>
        <w:rPr>
          <w:rStyle w:val="FootnoteReference"/>
          <w:spacing w:val="-2"/>
          <w:szCs w:val="22"/>
        </w:rPr>
        <w:footnoteReference w:id="163"/>
      </w:r>
      <w:r>
        <w:rPr>
          <w:spacing w:val="-2"/>
          <w:szCs w:val="22"/>
        </w:rPr>
        <w:t xml:space="preserve">  </w:t>
      </w:r>
      <w:r w:rsidRPr="007521D5">
        <w:rPr>
          <w:spacing w:val="-2"/>
          <w:szCs w:val="22"/>
        </w:rPr>
        <w:t>According to Commission data, 1,307 carriers reported that they were incumbent local exchange service providers.</w:t>
      </w:r>
      <w:r>
        <w:rPr>
          <w:rStyle w:val="FootnoteReference"/>
          <w:spacing w:val="-2"/>
          <w:szCs w:val="22"/>
        </w:rPr>
        <w:footnoteReference w:id="164"/>
      </w:r>
      <w:r>
        <w:rPr>
          <w:spacing w:val="-2"/>
          <w:szCs w:val="22"/>
        </w:rPr>
        <w:t xml:space="preserve">  </w:t>
      </w:r>
      <w:r w:rsidRPr="007521D5">
        <w:rPr>
          <w:spacing w:val="-2"/>
          <w:szCs w:val="22"/>
        </w:rPr>
        <w:t>Of these 1,307 carriers, an estimated 1,006 have 1,500 or fewer employees and 301 have more than 1,500 employees.</w:t>
      </w:r>
      <w:r>
        <w:rPr>
          <w:rStyle w:val="FootnoteReference"/>
          <w:spacing w:val="-2"/>
          <w:szCs w:val="22"/>
        </w:rPr>
        <w:footnoteReference w:id="165"/>
      </w:r>
      <w:r w:rsidRPr="007521D5">
        <w:rPr>
          <w:spacing w:val="-2"/>
          <w:szCs w:val="22"/>
        </w:rPr>
        <w:t xml:space="preserve">   Consequently, the Commission estimates that most providers of </w:t>
      </w:r>
      <w:r>
        <w:rPr>
          <w:spacing w:val="-2"/>
          <w:szCs w:val="22"/>
        </w:rPr>
        <w:t xml:space="preserve">incumbent </w:t>
      </w:r>
      <w:r w:rsidRPr="007521D5">
        <w:rPr>
          <w:spacing w:val="-2"/>
          <w:szCs w:val="22"/>
        </w:rPr>
        <w:t xml:space="preserve">local exchange service are small </w:t>
      </w:r>
      <w:r>
        <w:rPr>
          <w:spacing w:val="-2"/>
          <w:szCs w:val="22"/>
        </w:rPr>
        <w:t>businesses</w:t>
      </w:r>
      <w:r w:rsidRPr="007521D5">
        <w:rPr>
          <w:spacing w:val="-2"/>
          <w:szCs w:val="22"/>
        </w:rPr>
        <w:t xml:space="preserve"> that may be affected by the rules a</w:t>
      </w:r>
      <w:r>
        <w:rPr>
          <w:spacing w:val="-2"/>
          <w:szCs w:val="22"/>
        </w:rPr>
        <w:t>nd policies adopted</w:t>
      </w:r>
      <w:r w:rsidRPr="007521D5">
        <w:rPr>
          <w:spacing w:val="-2"/>
          <w:szCs w:val="22"/>
        </w:rPr>
        <w:t xml:space="preserve">.    </w:t>
      </w:r>
    </w:p>
    <w:p w:rsidR="00264877" w:rsidRPr="007521D5"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Pr>
          <w:spacing w:val="-2"/>
          <w:szCs w:val="22"/>
        </w:rPr>
        <w:t>1</w:t>
      </w:r>
      <w:r w:rsidRPr="007521D5">
        <w:rPr>
          <w:spacing w:val="-2"/>
          <w:szCs w:val="22"/>
        </w:rPr>
        <w:t>.</w:t>
      </w:r>
      <w:r w:rsidRPr="007521D5">
        <w:rPr>
          <w:spacing w:val="-2"/>
          <w:szCs w:val="22"/>
        </w:rPr>
        <w:tab/>
      </w:r>
      <w:r w:rsidRPr="00EB0B7B">
        <w:rPr>
          <w:b/>
          <w:spacing w:val="-2"/>
          <w:szCs w:val="22"/>
        </w:rPr>
        <w:t>Competitive Local Exchange Carriers (Competitive LECs), Competitive Access Providers (CAPs), Shared-Tenant Service Providers, and Other Local Service Providers.</w:t>
      </w:r>
      <w:r w:rsidRPr="007521D5">
        <w:rPr>
          <w:spacing w:val="-2"/>
          <w:szCs w:val="22"/>
        </w:rPr>
        <w:t xml:space="preserve">  Neither the Commission nor the SBA has developed a small business size standard specifically for these service providers.  The appropriate size standard under SBA rules is for the category Wired Telecommunications Carriers.  Under that size standard, such a business is small if it has 1,500 or fewer employees.</w:t>
      </w:r>
      <w:r>
        <w:rPr>
          <w:rStyle w:val="FootnoteReference"/>
          <w:spacing w:val="-2"/>
          <w:szCs w:val="22"/>
        </w:rPr>
        <w:footnoteReference w:id="166"/>
      </w:r>
      <w:r w:rsidRPr="007521D5">
        <w:rPr>
          <w:spacing w:val="-2"/>
          <w:szCs w:val="22"/>
        </w:rPr>
        <w:t xml:space="preserve">   According to Commission data, 1,442 carriers reported that they were engaged in the provision of either competitive local exchange services or competitive access provider services.</w:t>
      </w:r>
      <w:r>
        <w:rPr>
          <w:rStyle w:val="FootnoteReference"/>
          <w:spacing w:val="-2"/>
          <w:szCs w:val="22"/>
        </w:rPr>
        <w:footnoteReference w:id="167"/>
      </w:r>
      <w:r w:rsidRPr="007521D5">
        <w:rPr>
          <w:spacing w:val="-2"/>
          <w:szCs w:val="22"/>
        </w:rPr>
        <w:t xml:space="preserve">   Of these 1,442 carriers, an estimated 1,256 have 1,500 or fewer employees and 186 have more than 1,500 employees.</w:t>
      </w:r>
      <w:r>
        <w:rPr>
          <w:rStyle w:val="FootnoteReference"/>
          <w:spacing w:val="-2"/>
          <w:szCs w:val="22"/>
        </w:rPr>
        <w:footnoteReference w:id="168"/>
      </w:r>
      <w:r w:rsidRPr="007521D5">
        <w:rPr>
          <w:spacing w:val="-2"/>
          <w:szCs w:val="22"/>
        </w:rPr>
        <w:t xml:space="preserve">   In addition, 17 carriers have reported that they are Shared-Tenant Service Providers, and all 17 are estimated to have 1,500 or fewer employees.</w:t>
      </w:r>
      <w:r>
        <w:rPr>
          <w:rStyle w:val="FootnoteReference"/>
          <w:spacing w:val="-2"/>
          <w:szCs w:val="22"/>
        </w:rPr>
        <w:footnoteReference w:id="169"/>
      </w:r>
      <w:r w:rsidRPr="007521D5">
        <w:rPr>
          <w:spacing w:val="-2"/>
          <w:szCs w:val="22"/>
        </w:rPr>
        <w:t xml:space="preserve">   In addition, 72 carriers have reported that they are Other Local Service Providers.</w:t>
      </w:r>
      <w:r>
        <w:rPr>
          <w:rStyle w:val="FootnoteReference"/>
          <w:spacing w:val="-2"/>
          <w:szCs w:val="22"/>
        </w:rPr>
        <w:footnoteReference w:id="170"/>
      </w:r>
      <w:r>
        <w:rPr>
          <w:spacing w:val="-2"/>
          <w:szCs w:val="22"/>
        </w:rPr>
        <w:t xml:space="preserve">   Of the 72, seventy</w:t>
      </w:r>
      <w:r w:rsidRPr="007521D5">
        <w:rPr>
          <w:spacing w:val="-2"/>
          <w:szCs w:val="22"/>
        </w:rPr>
        <w:t xml:space="preserve"> have 1,500 or fewer employees and two have more than 1,500 employees.</w:t>
      </w:r>
      <w:r>
        <w:rPr>
          <w:rStyle w:val="FootnoteReference"/>
          <w:spacing w:val="-2"/>
          <w:szCs w:val="22"/>
        </w:rPr>
        <w:footnoteReference w:id="171"/>
      </w:r>
      <w:r w:rsidRPr="007521D5">
        <w:rPr>
          <w:spacing w:val="-2"/>
          <w:szCs w:val="22"/>
        </w:rPr>
        <w:t xml:space="preserve">   Consequently, the Commission estimates that most providers of competitive local exchange service, competitive access providers, Shared-Tenant Service Providers, and Other Local Service Providers are small entities that may be affected by ru</w:t>
      </w:r>
      <w:r>
        <w:rPr>
          <w:spacing w:val="-2"/>
          <w:szCs w:val="22"/>
        </w:rPr>
        <w:t>les adopted</w:t>
      </w:r>
      <w:r w:rsidRPr="007521D5">
        <w:rPr>
          <w:spacing w:val="-2"/>
          <w:szCs w:val="22"/>
        </w:rPr>
        <w:t xml:space="preserve">. </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Pr>
          <w:spacing w:val="-2"/>
          <w:szCs w:val="22"/>
        </w:rPr>
        <w:t>2</w:t>
      </w:r>
      <w:r w:rsidRPr="007521D5">
        <w:rPr>
          <w:spacing w:val="-2"/>
          <w:szCs w:val="22"/>
        </w:rPr>
        <w:t>.</w:t>
      </w:r>
      <w:r w:rsidRPr="007521D5">
        <w:rPr>
          <w:spacing w:val="-2"/>
          <w:szCs w:val="22"/>
        </w:rPr>
        <w:tab/>
      </w:r>
      <w:r w:rsidRPr="005B1923">
        <w:rPr>
          <w:b/>
          <w:spacing w:val="-2"/>
          <w:szCs w:val="22"/>
        </w:rPr>
        <w:t>Interexchange Carriers (IXCs)</w:t>
      </w:r>
      <w:r w:rsidRPr="007521D5">
        <w:rPr>
          <w:spacing w:val="-2"/>
          <w:szCs w:val="22"/>
        </w:rPr>
        <w:t xml:space="preserve">.  Neither the Commission nor the SBA has developed a small business size standard specifically </w:t>
      </w:r>
      <w:r>
        <w:rPr>
          <w:spacing w:val="-2"/>
          <w:szCs w:val="22"/>
        </w:rPr>
        <w:t xml:space="preserve">applicable to </w:t>
      </w:r>
      <w:r w:rsidRPr="007521D5">
        <w:rPr>
          <w:spacing w:val="-2"/>
          <w:szCs w:val="22"/>
        </w:rPr>
        <w:t xml:space="preserve">interexchange services.  The </w:t>
      </w:r>
      <w:r>
        <w:rPr>
          <w:spacing w:val="-2"/>
          <w:szCs w:val="22"/>
        </w:rPr>
        <w:t>applicable</w:t>
      </w:r>
      <w:r w:rsidRPr="007521D5">
        <w:rPr>
          <w:spacing w:val="-2"/>
          <w:szCs w:val="22"/>
        </w:rPr>
        <w:t xml:space="preserve"> size standard under SBA rules is for the Wired Telecommunications Carriers.  Under that size standard, such a business is small if it has 1,500 or fewer employees.</w:t>
      </w:r>
      <w:r>
        <w:rPr>
          <w:rStyle w:val="FootnoteReference"/>
          <w:spacing w:val="-2"/>
          <w:szCs w:val="22"/>
        </w:rPr>
        <w:footnoteReference w:id="172"/>
      </w:r>
      <w:r w:rsidRPr="007521D5">
        <w:rPr>
          <w:spacing w:val="-2"/>
          <w:szCs w:val="22"/>
        </w:rPr>
        <w:t xml:space="preserve">  According to Commission data, 359 companies reported that their primary telecommunications service activity was the provision of interexchange services.</w:t>
      </w:r>
      <w:r>
        <w:rPr>
          <w:rStyle w:val="FootnoteReference"/>
          <w:spacing w:val="-2"/>
          <w:szCs w:val="22"/>
        </w:rPr>
        <w:footnoteReference w:id="173"/>
      </w:r>
      <w:r w:rsidRPr="007521D5">
        <w:rPr>
          <w:spacing w:val="-2"/>
          <w:szCs w:val="22"/>
        </w:rPr>
        <w:t xml:space="preserve">   Of these 359 companies, an estimated 317 have 1,500 or fewer employees and 42 have more than 1,500 employees.</w:t>
      </w:r>
      <w:r>
        <w:rPr>
          <w:rStyle w:val="FootnoteReference"/>
          <w:spacing w:val="-2"/>
          <w:szCs w:val="22"/>
        </w:rPr>
        <w:footnoteReference w:id="174"/>
      </w:r>
      <w:r w:rsidRPr="007521D5">
        <w:rPr>
          <w:spacing w:val="-2"/>
          <w:szCs w:val="22"/>
        </w:rPr>
        <w:t xml:space="preserve">   </w:t>
      </w:r>
      <w:r w:rsidRPr="007521D5">
        <w:rPr>
          <w:spacing w:val="-2"/>
          <w:szCs w:val="22"/>
        </w:rPr>
        <w:lastRenderedPageBreak/>
        <w:t>Consequently, the Commission estimates that the majority of interexchange service providers are small entities that may be affected by rules adopted.</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13.</w:t>
      </w:r>
      <w:r>
        <w:rPr>
          <w:spacing w:val="-2"/>
          <w:szCs w:val="22"/>
        </w:rPr>
        <w:tab/>
      </w:r>
      <w:r w:rsidRPr="00AC5A57">
        <w:rPr>
          <w:b/>
          <w:spacing w:val="-2"/>
          <w:szCs w:val="22"/>
        </w:rPr>
        <w:t>Prepaid Calling Card Providers.</w:t>
      </w:r>
      <w:r w:rsidRPr="00AC5A57">
        <w:rPr>
          <w:spacing w:val="-2"/>
          <w:szCs w:val="22"/>
        </w:rPr>
        <w:t xml:space="preserve">  Neither the Commission nor the SBA has developed a small business size standard specifically for prepaid calling card providers.  The appropriate size standard under SBA rules is for the category Telecommunications Resellers.  Under that size standard, such a business is small if it has 1,500 or fewer employees.</w:t>
      </w:r>
      <w:r>
        <w:rPr>
          <w:rStyle w:val="FootnoteReference"/>
          <w:spacing w:val="-2"/>
          <w:szCs w:val="22"/>
        </w:rPr>
        <w:footnoteReference w:id="175"/>
      </w:r>
      <w:r w:rsidRPr="00AC5A57">
        <w:rPr>
          <w:spacing w:val="-2"/>
          <w:szCs w:val="22"/>
        </w:rPr>
        <w:t xml:space="preserve">   Census data for 2007 show that 1,</w:t>
      </w:r>
      <w:r>
        <w:rPr>
          <w:spacing w:val="-2"/>
          <w:szCs w:val="22"/>
        </w:rPr>
        <w:t xml:space="preserve">716 establishments </w:t>
      </w:r>
      <w:r w:rsidRPr="00AC5A57">
        <w:rPr>
          <w:spacing w:val="-2"/>
          <w:szCs w:val="22"/>
        </w:rPr>
        <w:t>provided resale services during that year.  Of that number, 1,</w:t>
      </w:r>
      <w:r>
        <w:rPr>
          <w:spacing w:val="-2"/>
          <w:szCs w:val="22"/>
        </w:rPr>
        <w:t>674 operated with fewer than 99</w:t>
      </w:r>
      <w:r w:rsidRPr="00AC5A57">
        <w:rPr>
          <w:spacing w:val="-2"/>
          <w:szCs w:val="22"/>
        </w:rPr>
        <w:t xml:space="preserve"> employees and </w:t>
      </w:r>
      <w:r>
        <w:rPr>
          <w:spacing w:val="-2"/>
          <w:szCs w:val="22"/>
        </w:rPr>
        <w:t>42 operated with more than 100 employees.</w:t>
      </w:r>
      <w:r>
        <w:rPr>
          <w:rStyle w:val="FootnoteReference"/>
          <w:spacing w:val="-2"/>
          <w:szCs w:val="22"/>
        </w:rPr>
        <w:footnoteReference w:id="176"/>
      </w:r>
      <w:r w:rsidRPr="00AC5A57">
        <w:rPr>
          <w:spacing w:val="-2"/>
          <w:szCs w:val="22"/>
        </w:rPr>
        <w:t xml:space="preserve">   Thus under this category and the associated small business size standard, the majority of these prepaid calling card providers can be considered small entities.  According to Commission data, 193 carriers have reported that they are engaged in the provision of prepaid calling cards.</w:t>
      </w:r>
      <w:r>
        <w:rPr>
          <w:rStyle w:val="FootnoteReference"/>
          <w:spacing w:val="-2"/>
          <w:szCs w:val="22"/>
        </w:rPr>
        <w:footnoteReference w:id="177"/>
      </w:r>
      <w:r w:rsidRPr="00AC5A57">
        <w:rPr>
          <w:spacing w:val="-2"/>
          <w:szCs w:val="22"/>
        </w:rPr>
        <w:t xml:space="preserve">   Of these, all 193 have 1,500 or fewer employees and none have more than 1,500 employees.</w:t>
      </w:r>
      <w:r>
        <w:rPr>
          <w:rStyle w:val="FootnoteReference"/>
          <w:spacing w:val="-2"/>
          <w:szCs w:val="22"/>
        </w:rPr>
        <w:footnoteReference w:id="178"/>
      </w:r>
      <w:r w:rsidRPr="00AC5A57">
        <w:rPr>
          <w:spacing w:val="-2"/>
          <w:szCs w:val="22"/>
        </w:rPr>
        <w:t xml:space="preserve">   Consequently, the Commission estimates that the majority of prepaid calling card providers are small entities that may be affected by rules adopted.</w:t>
      </w:r>
    </w:p>
    <w:p w:rsidR="00264877" w:rsidRPr="007521D5"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Pr>
          <w:spacing w:val="-2"/>
          <w:szCs w:val="22"/>
        </w:rPr>
        <w:t>4</w:t>
      </w:r>
      <w:r w:rsidRPr="007521D5">
        <w:rPr>
          <w:spacing w:val="-2"/>
          <w:szCs w:val="22"/>
        </w:rPr>
        <w:t>.</w:t>
      </w:r>
      <w:r w:rsidRPr="007521D5">
        <w:rPr>
          <w:spacing w:val="-2"/>
          <w:szCs w:val="22"/>
        </w:rPr>
        <w:tab/>
      </w:r>
      <w:r w:rsidRPr="00CE14D5">
        <w:rPr>
          <w:b/>
          <w:spacing w:val="-2"/>
          <w:szCs w:val="22"/>
        </w:rPr>
        <w:t>Local Resellers</w:t>
      </w:r>
      <w:r w:rsidRPr="007521D5">
        <w:rPr>
          <w:spacing w:val="-2"/>
          <w:szCs w:val="22"/>
        </w:rPr>
        <w:t>.  The SBA has developed a small business size standard for the category of Telecommunications Resellers.  Under that size standard, such a business is small if it has 1,500 or fewer employees.</w:t>
      </w:r>
      <w:r>
        <w:rPr>
          <w:rStyle w:val="FootnoteReference"/>
          <w:spacing w:val="-2"/>
          <w:szCs w:val="22"/>
        </w:rPr>
        <w:footnoteReference w:id="179"/>
      </w:r>
      <w:r w:rsidRPr="007521D5">
        <w:rPr>
          <w:spacing w:val="-2"/>
          <w:szCs w:val="22"/>
        </w:rPr>
        <w:t xml:space="preserve">   </w:t>
      </w:r>
      <w:r w:rsidRPr="00AC5A57">
        <w:rPr>
          <w:spacing w:val="-2"/>
          <w:szCs w:val="22"/>
        </w:rPr>
        <w:t>Census data for 2007 show that 1,</w:t>
      </w:r>
      <w:r>
        <w:rPr>
          <w:spacing w:val="-2"/>
          <w:szCs w:val="22"/>
        </w:rPr>
        <w:t xml:space="preserve">716 establishments </w:t>
      </w:r>
      <w:r w:rsidRPr="00AC5A57">
        <w:rPr>
          <w:spacing w:val="-2"/>
          <w:szCs w:val="22"/>
        </w:rPr>
        <w:t>provided resale services during that year.  Of that number, 1,</w:t>
      </w:r>
      <w:r>
        <w:rPr>
          <w:spacing w:val="-2"/>
          <w:szCs w:val="22"/>
        </w:rPr>
        <w:t>674 operated with fewer than 99</w:t>
      </w:r>
      <w:r w:rsidRPr="00AC5A57">
        <w:rPr>
          <w:spacing w:val="-2"/>
          <w:szCs w:val="22"/>
        </w:rPr>
        <w:t xml:space="preserve"> employees and </w:t>
      </w:r>
      <w:r>
        <w:rPr>
          <w:spacing w:val="-2"/>
          <w:szCs w:val="22"/>
        </w:rPr>
        <w:t>42 operated with more than 100 employees.</w:t>
      </w:r>
      <w:r>
        <w:rPr>
          <w:rStyle w:val="FootnoteReference"/>
          <w:spacing w:val="-2"/>
          <w:szCs w:val="22"/>
        </w:rPr>
        <w:footnoteReference w:id="180"/>
      </w:r>
      <w:r w:rsidRPr="00AC5A57">
        <w:rPr>
          <w:spacing w:val="-2"/>
          <w:szCs w:val="22"/>
        </w:rPr>
        <w:t xml:space="preserve">   </w:t>
      </w:r>
      <w:r>
        <w:rPr>
          <w:spacing w:val="-2"/>
          <w:szCs w:val="22"/>
        </w:rPr>
        <w:t>U</w:t>
      </w:r>
      <w:r w:rsidRPr="007521D5">
        <w:rPr>
          <w:spacing w:val="-2"/>
          <w:szCs w:val="22"/>
        </w:rPr>
        <w:t>nder this category and the associated small business size standard, the majority of these local resellers can be considered small entities.  According to Commission data, 213 carriers have reported that they are engaged in the provision of local resale services.</w:t>
      </w:r>
      <w:r>
        <w:rPr>
          <w:rStyle w:val="FootnoteReference"/>
          <w:spacing w:val="-2"/>
          <w:szCs w:val="22"/>
        </w:rPr>
        <w:footnoteReference w:id="181"/>
      </w:r>
      <w:r w:rsidRPr="007521D5">
        <w:rPr>
          <w:spacing w:val="-2"/>
          <w:szCs w:val="22"/>
        </w:rPr>
        <w:t xml:space="preserve">   Of these, an estimated 211 have 1,500 or fewer employees and two have more than 1,500 employees.</w:t>
      </w:r>
      <w:r>
        <w:rPr>
          <w:rStyle w:val="FootnoteReference"/>
          <w:spacing w:val="-2"/>
          <w:szCs w:val="22"/>
        </w:rPr>
        <w:footnoteReference w:id="182"/>
      </w:r>
      <w:r w:rsidRPr="007521D5">
        <w:rPr>
          <w:spacing w:val="-2"/>
          <w:szCs w:val="22"/>
        </w:rPr>
        <w:t xml:space="preserve">   Consequently, the Commission estimates that the majority of local resellers are small entities that may be affected by rules adopted.</w:t>
      </w:r>
    </w:p>
    <w:p w:rsidR="00264877" w:rsidRPr="007521D5"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sidRPr="007521D5">
        <w:rPr>
          <w:spacing w:val="-2"/>
          <w:szCs w:val="22"/>
        </w:rPr>
        <w:t>1</w:t>
      </w:r>
      <w:r>
        <w:rPr>
          <w:spacing w:val="-2"/>
          <w:szCs w:val="22"/>
        </w:rPr>
        <w:t>5</w:t>
      </w:r>
      <w:r w:rsidRPr="007521D5">
        <w:rPr>
          <w:spacing w:val="-2"/>
          <w:szCs w:val="22"/>
        </w:rPr>
        <w:t>.</w:t>
      </w:r>
      <w:r w:rsidRPr="007521D5">
        <w:rPr>
          <w:spacing w:val="-2"/>
          <w:szCs w:val="22"/>
        </w:rPr>
        <w:tab/>
      </w:r>
      <w:r w:rsidRPr="00D96FF2">
        <w:rPr>
          <w:b/>
          <w:spacing w:val="-2"/>
          <w:szCs w:val="22"/>
        </w:rPr>
        <w:t>Toll Resellers</w:t>
      </w:r>
      <w:r w:rsidRPr="007521D5">
        <w:rPr>
          <w:spacing w:val="-2"/>
          <w:szCs w:val="22"/>
        </w:rPr>
        <w:t>.  The SBA has developed a small business size standard for the category of Telecommunications Resellers.  Under that size standard, such a business is small if it has 1,500 or fewer employees.</w:t>
      </w:r>
      <w:r>
        <w:rPr>
          <w:rStyle w:val="FootnoteReference"/>
          <w:spacing w:val="-2"/>
          <w:szCs w:val="22"/>
        </w:rPr>
        <w:footnoteReference w:id="183"/>
      </w:r>
      <w:r w:rsidRPr="007521D5">
        <w:rPr>
          <w:spacing w:val="-2"/>
          <w:szCs w:val="22"/>
        </w:rPr>
        <w:t xml:space="preserve">   </w:t>
      </w:r>
      <w:r w:rsidRPr="00AC5A57">
        <w:rPr>
          <w:spacing w:val="-2"/>
          <w:szCs w:val="22"/>
        </w:rPr>
        <w:t>Census data for 2007 show that 1,</w:t>
      </w:r>
      <w:r>
        <w:rPr>
          <w:spacing w:val="-2"/>
          <w:szCs w:val="22"/>
        </w:rPr>
        <w:t xml:space="preserve">716 establishments </w:t>
      </w:r>
      <w:r w:rsidRPr="00AC5A57">
        <w:rPr>
          <w:spacing w:val="-2"/>
          <w:szCs w:val="22"/>
        </w:rPr>
        <w:t>provided resale services during that year.  Of that number, 1,</w:t>
      </w:r>
      <w:r>
        <w:rPr>
          <w:spacing w:val="-2"/>
          <w:szCs w:val="22"/>
        </w:rPr>
        <w:t>674 operated with fewer than 99</w:t>
      </w:r>
      <w:r w:rsidRPr="00AC5A57">
        <w:rPr>
          <w:spacing w:val="-2"/>
          <w:szCs w:val="22"/>
        </w:rPr>
        <w:t xml:space="preserve"> employees and </w:t>
      </w:r>
      <w:r>
        <w:rPr>
          <w:spacing w:val="-2"/>
          <w:szCs w:val="22"/>
        </w:rPr>
        <w:t>42 operated with more than 100 employees.</w:t>
      </w:r>
      <w:r>
        <w:rPr>
          <w:rStyle w:val="FootnoteReference"/>
          <w:spacing w:val="-2"/>
          <w:szCs w:val="22"/>
        </w:rPr>
        <w:footnoteReference w:id="184"/>
      </w:r>
      <w:r w:rsidRPr="00AC5A57">
        <w:rPr>
          <w:spacing w:val="-2"/>
          <w:szCs w:val="22"/>
        </w:rPr>
        <w:t xml:space="preserve">  </w:t>
      </w:r>
      <w:r w:rsidRPr="007521D5">
        <w:rPr>
          <w:spacing w:val="-2"/>
          <w:szCs w:val="22"/>
        </w:rPr>
        <w:t>Thus</w:t>
      </w:r>
      <w:r>
        <w:rPr>
          <w:spacing w:val="-2"/>
          <w:szCs w:val="22"/>
        </w:rPr>
        <w:t>,</w:t>
      </w:r>
      <w:r w:rsidRPr="007521D5">
        <w:rPr>
          <w:spacing w:val="-2"/>
          <w:szCs w:val="22"/>
        </w:rPr>
        <w:t xml:space="preserve"> under this category and the associated small business size standard, the majority of these resellers can be considered small entities.</w:t>
      </w:r>
      <w:r>
        <w:rPr>
          <w:spacing w:val="-2"/>
          <w:szCs w:val="22"/>
        </w:rPr>
        <w:t xml:space="preserve">  According to Commission data,</w:t>
      </w:r>
      <w:r w:rsidRPr="007521D5">
        <w:rPr>
          <w:spacing w:val="-2"/>
          <w:szCs w:val="22"/>
        </w:rPr>
        <w:t xml:space="preserve"> 881 carriers have reported that they are engaged in the provision of toll resale services.</w:t>
      </w:r>
      <w:r>
        <w:rPr>
          <w:rStyle w:val="FootnoteReference"/>
          <w:spacing w:val="-2"/>
          <w:szCs w:val="22"/>
        </w:rPr>
        <w:footnoteReference w:id="185"/>
      </w:r>
      <w:r w:rsidRPr="007521D5">
        <w:rPr>
          <w:spacing w:val="-2"/>
          <w:szCs w:val="22"/>
        </w:rPr>
        <w:t xml:space="preserve">  Of these, an estimated 857 have 1,500 or </w:t>
      </w:r>
      <w:r w:rsidRPr="007521D5">
        <w:rPr>
          <w:spacing w:val="-2"/>
          <w:szCs w:val="22"/>
        </w:rPr>
        <w:lastRenderedPageBreak/>
        <w:t>fewer employees and 24 have more than 1,500 employees.</w:t>
      </w:r>
      <w:r>
        <w:rPr>
          <w:rStyle w:val="FootnoteReference"/>
          <w:spacing w:val="-2"/>
          <w:szCs w:val="22"/>
        </w:rPr>
        <w:footnoteReference w:id="186"/>
      </w:r>
      <w:r w:rsidRPr="007521D5">
        <w:rPr>
          <w:spacing w:val="-2"/>
          <w:szCs w:val="22"/>
        </w:rPr>
        <w:t xml:space="preserve">  Consequently, the Commission estimates that the majority of toll resellers are small entities that may </w:t>
      </w:r>
      <w:r>
        <w:rPr>
          <w:spacing w:val="-2"/>
          <w:szCs w:val="22"/>
        </w:rPr>
        <w:t>be affected by the rules adopted herein</w:t>
      </w:r>
      <w:r w:rsidRPr="007521D5">
        <w:rPr>
          <w:spacing w:val="-2"/>
          <w:szCs w:val="22"/>
        </w:rPr>
        <w:t>.</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16.</w:t>
      </w:r>
      <w:r>
        <w:rPr>
          <w:spacing w:val="-2"/>
          <w:szCs w:val="22"/>
        </w:rPr>
        <w:tab/>
      </w:r>
      <w:r w:rsidRPr="009C04AC">
        <w:rPr>
          <w:b/>
          <w:spacing w:val="-2"/>
          <w:szCs w:val="22"/>
        </w:rPr>
        <w:t>Other Toll Carriers.</w:t>
      </w:r>
      <w:r w:rsidRPr="00CD1070">
        <w:rPr>
          <w:spacing w:val="-2"/>
          <w:szCs w:val="22"/>
        </w:rPr>
        <w:t xml:space="preserve"> </w:t>
      </w:r>
      <w:r>
        <w:rPr>
          <w:spacing w:val="-2"/>
          <w:szCs w:val="22"/>
        </w:rPr>
        <w:t xml:space="preserve"> </w:t>
      </w:r>
      <w:r w:rsidRPr="00CD1070">
        <w:rPr>
          <w:spacing w:val="-2"/>
          <w:szCs w:val="22"/>
        </w:rPr>
        <w:t>Neither the Commission nor the SBA has developed a size</w:t>
      </w:r>
      <w:r>
        <w:rPr>
          <w:spacing w:val="-2"/>
          <w:szCs w:val="22"/>
        </w:rPr>
        <w:t xml:space="preserve"> </w:t>
      </w:r>
      <w:r w:rsidRPr="00CD1070">
        <w:rPr>
          <w:spacing w:val="-2"/>
          <w:szCs w:val="22"/>
        </w:rPr>
        <w:t>standard for small businesses specifically applicable to Other Toll Carriers. This category includes toll</w:t>
      </w:r>
      <w:r>
        <w:rPr>
          <w:spacing w:val="-2"/>
          <w:szCs w:val="22"/>
        </w:rPr>
        <w:t xml:space="preserve"> </w:t>
      </w:r>
      <w:r w:rsidRPr="00CD1070">
        <w:rPr>
          <w:spacing w:val="-2"/>
          <w:szCs w:val="22"/>
        </w:rPr>
        <w:t>carriers that do not fall within the categories of interexchange carriers, operator service providers, prepaid</w:t>
      </w:r>
      <w:r>
        <w:rPr>
          <w:spacing w:val="-2"/>
          <w:szCs w:val="22"/>
        </w:rPr>
        <w:t xml:space="preserve"> </w:t>
      </w:r>
      <w:r w:rsidRPr="00CD1070">
        <w:rPr>
          <w:spacing w:val="-2"/>
          <w:szCs w:val="22"/>
        </w:rPr>
        <w:t>calling card providers, satellite service carriers, or toll resellers. The closest applicable size standard</w:t>
      </w:r>
      <w:r>
        <w:rPr>
          <w:spacing w:val="-2"/>
          <w:szCs w:val="22"/>
        </w:rPr>
        <w:t xml:space="preserve"> </w:t>
      </w:r>
      <w:r w:rsidRPr="00CD1070">
        <w:rPr>
          <w:spacing w:val="-2"/>
          <w:szCs w:val="22"/>
        </w:rPr>
        <w:t>under SBA rules is for Wired Telecommunications Carriers. Under that size standard, such a business is</w:t>
      </w:r>
      <w:r>
        <w:rPr>
          <w:spacing w:val="-2"/>
          <w:szCs w:val="22"/>
        </w:rPr>
        <w:t xml:space="preserve"> </w:t>
      </w:r>
      <w:r w:rsidRPr="00CD1070">
        <w:rPr>
          <w:spacing w:val="-2"/>
          <w:szCs w:val="22"/>
        </w:rPr>
        <w:t xml:space="preserve">small if it </w:t>
      </w:r>
      <w:r>
        <w:rPr>
          <w:spacing w:val="-2"/>
          <w:szCs w:val="22"/>
        </w:rPr>
        <w:t>has 1,500 or fewer employees.</w:t>
      </w:r>
      <w:r>
        <w:rPr>
          <w:rStyle w:val="FootnoteReference"/>
          <w:spacing w:val="-2"/>
          <w:szCs w:val="22"/>
        </w:rPr>
        <w:footnoteReference w:id="187"/>
      </w:r>
      <w:r>
        <w:rPr>
          <w:spacing w:val="-2"/>
          <w:szCs w:val="22"/>
        </w:rPr>
        <w:t xml:space="preserve">  </w:t>
      </w:r>
      <w:r w:rsidRPr="00CD1070">
        <w:rPr>
          <w:spacing w:val="-2"/>
          <w:szCs w:val="22"/>
        </w:rPr>
        <w:t>Census data for 2007 shows that there were 31,996</w:t>
      </w:r>
      <w:r>
        <w:rPr>
          <w:spacing w:val="-2"/>
          <w:szCs w:val="22"/>
        </w:rPr>
        <w:t xml:space="preserve"> </w:t>
      </w:r>
      <w:r w:rsidRPr="00CD1070">
        <w:rPr>
          <w:spacing w:val="-2"/>
          <w:szCs w:val="22"/>
        </w:rPr>
        <w:t xml:space="preserve">establishments that operated that year. </w:t>
      </w:r>
      <w:r>
        <w:rPr>
          <w:spacing w:val="-2"/>
          <w:szCs w:val="22"/>
        </w:rPr>
        <w:t xml:space="preserve"> </w:t>
      </w:r>
      <w:r w:rsidRPr="00CD1070">
        <w:rPr>
          <w:spacing w:val="-2"/>
          <w:szCs w:val="22"/>
        </w:rPr>
        <w:t>Of those 31,996, 1,818 operated with more than 100 employees,</w:t>
      </w:r>
      <w:r>
        <w:rPr>
          <w:spacing w:val="-2"/>
          <w:szCs w:val="22"/>
        </w:rPr>
        <w:t xml:space="preserve"> </w:t>
      </w:r>
      <w:r w:rsidRPr="00CD1070">
        <w:rPr>
          <w:spacing w:val="-2"/>
          <w:szCs w:val="22"/>
        </w:rPr>
        <w:t>and 30,178 operated with fewer than 100 employees.</w:t>
      </w:r>
      <w:r>
        <w:rPr>
          <w:rStyle w:val="FootnoteReference"/>
          <w:spacing w:val="-2"/>
          <w:szCs w:val="22"/>
        </w:rPr>
        <w:footnoteReference w:id="188"/>
      </w:r>
      <w:r>
        <w:rPr>
          <w:spacing w:val="-2"/>
          <w:szCs w:val="22"/>
        </w:rPr>
        <w:t xml:space="preserve">  </w:t>
      </w:r>
      <w:r w:rsidRPr="00CD1070">
        <w:rPr>
          <w:spacing w:val="-2"/>
          <w:szCs w:val="22"/>
        </w:rPr>
        <w:t>Thus, under this category and the associated</w:t>
      </w:r>
      <w:r>
        <w:rPr>
          <w:spacing w:val="-2"/>
          <w:szCs w:val="22"/>
        </w:rPr>
        <w:t xml:space="preserve"> </w:t>
      </w:r>
      <w:r w:rsidRPr="00CD1070">
        <w:rPr>
          <w:spacing w:val="-2"/>
          <w:szCs w:val="22"/>
        </w:rPr>
        <w:t xml:space="preserve">small business size standard, the majority of Other Toll Carriers can be considered small. </w:t>
      </w:r>
      <w:r>
        <w:rPr>
          <w:spacing w:val="-2"/>
          <w:szCs w:val="22"/>
        </w:rPr>
        <w:t xml:space="preserve"> </w:t>
      </w:r>
      <w:r w:rsidRPr="00CD1070">
        <w:rPr>
          <w:spacing w:val="-2"/>
          <w:szCs w:val="22"/>
        </w:rPr>
        <w:t>According to</w:t>
      </w:r>
      <w:r>
        <w:rPr>
          <w:spacing w:val="-2"/>
          <w:szCs w:val="22"/>
        </w:rPr>
        <w:t xml:space="preserve"> </w:t>
      </w:r>
      <w:r w:rsidRPr="00CD1070">
        <w:rPr>
          <w:spacing w:val="-2"/>
          <w:szCs w:val="22"/>
        </w:rPr>
        <w:t>Commission data, 284 companies reported that their primary telecommunications service activity was the</w:t>
      </w:r>
      <w:r>
        <w:rPr>
          <w:spacing w:val="-2"/>
          <w:szCs w:val="22"/>
        </w:rPr>
        <w:t xml:space="preserve"> </w:t>
      </w:r>
      <w:r w:rsidRPr="00CD1070">
        <w:rPr>
          <w:spacing w:val="-2"/>
          <w:szCs w:val="22"/>
        </w:rPr>
        <w:t>prov</w:t>
      </w:r>
      <w:r>
        <w:rPr>
          <w:spacing w:val="-2"/>
          <w:szCs w:val="22"/>
        </w:rPr>
        <w:t>ision of other toll carriage.</w:t>
      </w:r>
      <w:r>
        <w:rPr>
          <w:rStyle w:val="FootnoteReference"/>
          <w:spacing w:val="-2"/>
          <w:szCs w:val="22"/>
        </w:rPr>
        <w:footnoteReference w:id="189"/>
      </w:r>
      <w:r>
        <w:rPr>
          <w:spacing w:val="-2"/>
          <w:szCs w:val="22"/>
        </w:rPr>
        <w:t xml:space="preserve">  </w:t>
      </w:r>
      <w:r w:rsidRPr="00CD1070">
        <w:rPr>
          <w:spacing w:val="-2"/>
          <w:szCs w:val="22"/>
        </w:rPr>
        <w:t>Of these, an estimated 279 have 1,500 or fewer employees and five</w:t>
      </w:r>
      <w:r>
        <w:rPr>
          <w:spacing w:val="-2"/>
          <w:szCs w:val="22"/>
        </w:rPr>
        <w:t xml:space="preserve"> </w:t>
      </w:r>
      <w:r w:rsidRPr="00CD1070">
        <w:rPr>
          <w:spacing w:val="-2"/>
          <w:szCs w:val="22"/>
        </w:rPr>
        <w:t>ha</w:t>
      </w:r>
      <w:r>
        <w:rPr>
          <w:spacing w:val="-2"/>
          <w:szCs w:val="22"/>
        </w:rPr>
        <w:t>ve more than 1,500 employees.</w:t>
      </w:r>
      <w:r>
        <w:rPr>
          <w:rStyle w:val="FootnoteReference"/>
          <w:spacing w:val="-2"/>
          <w:szCs w:val="22"/>
        </w:rPr>
        <w:footnoteReference w:id="190"/>
      </w:r>
      <w:r>
        <w:rPr>
          <w:spacing w:val="-2"/>
          <w:szCs w:val="22"/>
        </w:rPr>
        <w:t xml:space="preserve">  </w:t>
      </w:r>
      <w:r w:rsidRPr="00CD1070">
        <w:rPr>
          <w:spacing w:val="-2"/>
          <w:szCs w:val="22"/>
        </w:rPr>
        <w:t>Consequently, the Commission estimates that most Other Toll</w:t>
      </w:r>
      <w:r>
        <w:rPr>
          <w:spacing w:val="-2"/>
          <w:szCs w:val="22"/>
        </w:rPr>
        <w:t xml:space="preserve"> </w:t>
      </w:r>
      <w:r w:rsidRPr="00CD1070">
        <w:rPr>
          <w:spacing w:val="-2"/>
          <w:szCs w:val="22"/>
        </w:rPr>
        <w:t>Carriers are small entities that may be affected by the rules and polic</w:t>
      </w:r>
      <w:r>
        <w:rPr>
          <w:spacing w:val="-2"/>
          <w:szCs w:val="22"/>
        </w:rPr>
        <w:t>ies adopted</w:t>
      </w:r>
      <w:r w:rsidRPr="00CD1070">
        <w:rPr>
          <w:spacing w:val="-2"/>
          <w:szCs w:val="22"/>
        </w:rPr>
        <w:t>.</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17.</w:t>
      </w:r>
      <w:r>
        <w:rPr>
          <w:spacing w:val="-2"/>
          <w:szCs w:val="22"/>
        </w:rPr>
        <w:tab/>
      </w:r>
      <w:r w:rsidRPr="00A50BC3">
        <w:rPr>
          <w:b/>
          <w:spacing w:val="-2"/>
          <w:szCs w:val="22"/>
        </w:rPr>
        <w:t xml:space="preserve">Wireless Telecommunications Carriers (except </w:t>
      </w:r>
      <w:r>
        <w:rPr>
          <w:b/>
          <w:spacing w:val="-2"/>
          <w:szCs w:val="22"/>
        </w:rPr>
        <w:t>S</w:t>
      </w:r>
      <w:r w:rsidRPr="00A50BC3">
        <w:rPr>
          <w:b/>
          <w:spacing w:val="-2"/>
          <w:szCs w:val="22"/>
        </w:rPr>
        <w:t>atellite).</w:t>
      </w:r>
      <w:r w:rsidRPr="00A50BC3">
        <w:rPr>
          <w:spacing w:val="-2"/>
          <w:szCs w:val="22"/>
        </w:rPr>
        <w:t xml:space="preserve">  </w:t>
      </w:r>
      <w:r w:rsidRPr="00A9716B">
        <w:rPr>
          <w:spacing w:val="-2"/>
          <w:szCs w:val="22"/>
        </w:rPr>
        <w:t>Since 2007, the SBA has</w:t>
      </w:r>
      <w:r>
        <w:rPr>
          <w:spacing w:val="-2"/>
          <w:szCs w:val="22"/>
        </w:rPr>
        <w:t xml:space="preserve"> </w:t>
      </w:r>
      <w:r w:rsidRPr="00A9716B">
        <w:rPr>
          <w:spacing w:val="-2"/>
          <w:szCs w:val="22"/>
        </w:rPr>
        <w:t>recognized wireless firms within this new, bro</w:t>
      </w:r>
      <w:r>
        <w:rPr>
          <w:spacing w:val="-2"/>
          <w:szCs w:val="22"/>
        </w:rPr>
        <w:t>ad, economic census category.</w:t>
      </w:r>
      <w:r>
        <w:rPr>
          <w:rStyle w:val="FootnoteReference"/>
          <w:spacing w:val="-2"/>
          <w:szCs w:val="22"/>
        </w:rPr>
        <w:footnoteReference w:id="191"/>
      </w:r>
      <w:r>
        <w:rPr>
          <w:spacing w:val="-2"/>
          <w:szCs w:val="22"/>
        </w:rPr>
        <w:t xml:space="preserve">  </w:t>
      </w:r>
      <w:r w:rsidRPr="00A9716B">
        <w:rPr>
          <w:spacing w:val="-2"/>
          <w:szCs w:val="22"/>
        </w:rPr>
        <w:t>Prior to that time, such</w:t>
      </w:r>
      <w:r>
        <w:rPr>
          <w:spacing w:val="-2"/>
          <w:szCs w:val="22"/>
        </w:rPr>
        <w:t xml:space="preserve"> </w:t>
      </w:r>
      <w:r w:rsidRPr="00A9716B">
        <w:rPr>
          <w:spacing w:val="-2"/>
          <w:szCs w:val="22"/>
        </w:rPr>
        <w:t>firms were within the now-superseded categories of Paging and Cellular and Other Wireless</w:t>
      </w:r>
      <w:r>
        <w:rPr>
          <w:spacing w:val="-2"/>
          <w:szCs w:val="22"/>
        </w:rPr>
        <w:t xml:space="preserve">  T</w:t>
      </w:r>
      <w:r w:rsidRPr="00A9716B">
        <w:rPr>
          <w:spacing w:val="-2"/>
          <w:szCs w:val="22"/>
        </w:rPr>
        <w:t>elecommunications.</w:t>
      </w:r>
      <w:r>
        <w:rPr>
          <w:rStyle w:val="FootnoteReference"/>
          <w:spacing w:val="-2"/>
          <w:szCs w:val="22"/>
        </w:rPr>
        <w:footnoteReference w:id="192"/>
      </w:r>
      <w:r>
        <w:rPr>
          <w:spacing w:val="-2"/>
          <w:szCs w:val="22"/>
        </w:rPr>
        <w:t xml:space="preserve">  </w:t>
      </w:r>
      <w:r w:rsidRPr="00A9716B">
        <w:rPr>
          <w:spacing w:val="-2"/>
          <w:szCs w:val="22"/>
        </w:rPr>
        <w:t>Under the present and prior categories, the SBA has deemed a wireless business</w:t>
      </w:r>
      <w:r>
        <w:rPr>
          <w:spacing w:val="-2"/>
          <w:szCs w:val="22"/>
        </w:rPr>
        <w:t xml:space="preserve"> </w:t>
      </w:r>
      <w:r w:rsidRPr="00A9716B">
        <w:rPr>
          <w:spacing w:val="-2"/>
          <w:szCs w:val="22"/>
        </w:rPr>
        <w:t>to be small if it has 1,500 or fewer employees.</w:t>
      </w:r>
      <w:r>
        <w:rPr>
          <w:rStyle w:val="FootnoteReference"/>
          <w:spacing w:val="-2"/>
          <w:szCs w:val="22"/>
        </w:rPr>
        <w:footnoteReference w:id="193"/>
      </w:r>
      <w:r>
        <w:rPr>
          <w:spacing w:val="-2"/>
          <w:szCs w:val="22"/>
        </w:rPr>
        <w:t xml:space="preserve">  </w:t>
      </w:r>
      <w:r w:rsidRPr="00A9716B">
        <w:rPr>
          <w:spacing w:val="-2"/>
          <w:szCs w:val="22"/>
        </w:rPr>
        <w:t>For this category, census data for 2007 show that there</w:t>
      </w:r>
      <w:r>
        <w:rPr>
          <w:spacing w:val="-2"/>
          <w:szCs w:val="22"/>
        </w:rPr>
        <w:t xml:space="preserve"> </w:t>
      </w:r>
      <w:r w:rsidRPr="00A9716B">
        <w:rPr>
          <w:spacing w:val="-2"/>
          <w:szCs w:val="22"/>
        </w:rPr>
        <w:t xml:space="preserve">were 11,163 establishments that </w:t>
      </w:r>
      <w:r>
        <w:rPr>
          <w:spacing w:val="-2"/>
          <w:szCs w:val="22"/>
        </w:rPr>
        <w:t>operated for the entire year.</w:t>
      </w:r>
      <w:r>
        <w:rPr>
          <w:rStyle w:val="FootnoteReference"/>
          <w:spacing w:val="-2"/>
          <w:szCs w:val="22"/>
        </w:rPr>
        <w:footnoteReference w:id="194"/>
      </w:r>
      <w:r>
        <w:rPr>
          <w:spacing w:val="-2"/>
          <w:szCs w:val="22"/>
        </w:rPr>
        <w:t xml:space="preserve">  </w:t>
      </w:r>
      <w:r w:rsidRPr="00A9716B">
        <w:rPr>
          <w:spacing w:val="-2"/>
          <w:szCs w:val="22"/>
        </w:rPr>
        <w:t>Of this total, 10,791 establishments had</w:t>
      </w:r>
      <w:r>
        <w:rPr>
          <w:spacing w:val="-2"/>
          <w:szCs w:val="22"/>
        </w:rPr>
        <w:t xml:space="preserve"> </w:t>
      </w:r>
      <w:r w:rsidRPr="00A9716B">
        <w:rPr>
          <w:spacing w:val="-2"/>
          <w:szCs w:val="22"/>
        </w:rPr>
        <w:t>employment of 999 or fewer employees and 372 had employment of 1000 employees or more.</w:t>
      </w:r>
      <w:r>
        <w:rPr>
          <w:rStyle w:val="FootnoteReference"/>
          <w:spacing w:val="-2"/>
          <w:szCs w:val="22"/>
        </w:rPr>
        <w:footnoteReference w:id="195"/>
      </w:r>
      <w:r>
        <w:rPr>
          <w:spacing w:val="-2"/>
          <w:szCs w:val="22"/>
        </w:rPr>
        <w:t xml:space="preserve">  </w:t>
      </w:r>
      <w:r w:rsidRPr="004740E3">
        <w:rPr>
          <w:spacing w:val="-2"/>
          <w:szCs w:val="22"/>
        </w:rPr>
        <w:t>Thus,</w:t>
      </w:r>
      <w:r w:rsidRPr="004740E3">
        <w:rPr>
          <w:szCs w:val="22"/>
        </w:rPr>
        <w:t xml:space="preserve"> under this category and the associated small business size standard, the Commission estimates that the m</w:t>
      </w:r>
      <w:r w:rsidRPr="004740E3">
        <w:rPr>
          <w:spacing w:val="-2"/>
          <w:szCs w:val="22"/>
        </w:rPr>
        <w:t xml:space="preserve">ajority of wireless telecommunications carriers (except satellite) are small entities that </w:t>
      </w:r>
      <w:r>
        <w:rPr>
          <w:spacing w:val="-2"/>
          <w:szCs w:val="22"/>
        </w:rPr>
        <w:t xml:space="preserve">may be affected by our </w:t>
      </w:r>
      <w:r w:rsidRPr="004740E3">
        <w:rPr>
          <w:spacing w:val="-2"/>
          <w:szCs w:val="22"/>
        </w:rPr>
        <w:t>action.</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18.</w:t>
      </w:r>
      <w:r>
        <w:rPr>
          <w:spacing w:val="-2"/>
          <w:szCs w:val="22"/>
        </w:rPr>
        <w:tab/>
      </w:r>
      <w:r w:rsidRPr="004740E3">
        <w:rPr>
          <w:spacing w:val="-2"/>
          <w:szCs w:val="22"/>
        </w:rPr>
        <w:t>Similarly, according to Commission data, 413 carriers reported</w:t>
      </w:r>
      <w:r w:rsidRPr="00A9716B">
        <w:rPr>
          <w:spacing w:val="-2"/>
          <w:szCs w:val="22"/>
        </w:rPr>
        <w:t xml:space="preserve"> that they were engaged in</w:t>
      </w:r>
      <w:r>
        <w:rPr>
          <w:spacing w:val="-2"/>
          <w:szCs w:val="22"/>
        </w:rPr>
        <w:t xml:space="preserve"> </w:t>
      </w:r>
      <w:r w:rsidRPr="00A9716B">
        <w:rPr>
          <w:spacing w:val="-2"/>
          <w:szCs w:val="22"/>
        </w:rPr>
        <w:t>the provision of wireless telephony, including cellular service, Personal Communications Service (PCS),</w:t>
      </w:r>
      <w:r>
        <w:rPr>
          <w:spacing w:val="-2"/>
          <w:szCs w:val="22"/>
        </w:rPr>
        <w:t xml:space="preserve"> </w:t>
      </w:r>
      <w:r w:rsidRPr="00A9716B">
        <w:rPr>
          <w:spacing w:val="-2"/>
          <w:szCs w:val="22"/>
        </w:rPr>
        <w:lastRenderedPageBreak/>
        <w:t>and Specialized Mobile Radio (SMR) Telephony services.</w:t>
      </w:r>
      <w:r>
        <w:rPr>
          <w:rStyle w:val="FootnoteReference"/>
          <w:spacing w:val="-2"/>
          <w:szCs w:val="22"/>
        </w:rPr>
        <w:footnoteReference w:id="196"/>
      </w:r>
      <w:r>
        <w:rPr>
          <w:spacing w:val="-2"/>
          <w:szCs w:val="22"/>
        </w:rPr>
        <w:t xml:space="preserve">  </w:t>
      </w:r>
      <w:r w:rsidRPr="00A9716B">
        <w:rPr>
          <w:spacing w:val="-2"/>
          <w:szCs w:val="22"/>
        </w:rPr>
        <w:t>Of these, an estimated 261 have 1,500 or</w:t>
      </w:r>
      <w:r>
        <w:rPr>
          <w:spacing w:val="-2"/>
          <w:szCs w:val="22"/>
        </w:rPr>
        <w:t xml:space="preserve"> </w:t>
      </w:r>
      <w:r w:rsidRPr="00A9716B">
        <w:rPr>
          <w:spacing w:val="-2"/>
          <w:szCs w:val="22"/>
        </w:rPr>
        <w:t>fewer employees and 152 ha</w:t>
      </w:r>
      <w:r>
        <w:rPr>
          <w:spacing w:val="-2"/>
          <w:szCs w:val="22"/>
        </w:rPr>
        <w:t>ve more than 1,500 employees.</w:t>
      </w:r>
      <w:r>
        <w:rPr>
          <w:rStyle w:val="FootnoteReference"/>
          <w:spacing w:val="-2"/>
          <w:szCs w:val="22"/>
        </w:rPr>
        <w:footnoteReference w:id="197"/>
      </w:r>
      <w:r>
        <w:rPr>
          <w:spacing w:val="-2"/>
          <w:szCs w:val="22"/>
        </w:rPr>
        <w:t xml:space="preserve">  </w:t>
      </w:r>
      <w:r w:rsidRPr="00A9716B">
        <w:rPr>
          <w:spacing w:val="-2"/>
          <w:szCs w:val="22"/>
        </w:rPr>
        <w:t>Consequently, the Commission estimates</w:t>
      </w:r>
      <w:r>
        <w:rPr>
          <w:spacing w:val="-2"/>
          <w:szCs w:val="22"/>
        </w:rPr>
        <w:t xml:space="preserve"> </w:t>
      </w:r>
      <w:r w:rsidRPr="00A9716B">
        <w:rPr>
          <w:spacing w:val="-2"/>
          <w:szCs w:val="22"/>
        </w:rPr>
        <w:t>that approximately half or more of these firms can be considered small. Thus, using available data, we</w:t>
      </w:r>
      <w:r>
        <w:rPr>
          <w:spacing w:val="-2"/>
          <w:szCs w:val="22"/>
        </w:rPr>
        <w:t xml:space="preserve"> </w:t>
      </w:r>
      <w:r w:rsidRPr="00A9716B">
        <w:rPr>
          <w:spacing w:val="-2"/>
          <w:szCs w:val="22"/>
        </w:rPr>
        <w:t>estimate that the majority of wireless firms can be considered small.</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19.</w:t>
      </w:r>
      <w:r>
        <w:rPr>
          <w:spacing w:val="-2"/>
          <w:szCs w:val="22"/>
        </w:rPr>
        <w:tab/>
      </w:r>
      <w:r w:rsidRPr="0065680B">
        <w:rPr>
          <w:b/>
          <w:spacing w:val="-2"/>
          <w:szCs w:val="22"/>
        </w:rPr>
        <w:t>Cable Television and other Program Distribution</w:t>
      </w:r>
      <w:r w:rsidRPr="0065680B">
        <w:rPr>
          <w:spacing w:val="-2"/>
          <w:szCs w:val="22"/>
        </w:rPr>
        <w:t>.   Since 2007, these services have been defined within the broad economic census category of Wired Telecommunications Carriers; that category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be based on a single technology or a combination of technologies.”</w:t>
      </w:r>
      <w:r>
        <w:rPr>
          <w:rStyle w:val="FootnoteReference"/>
          <w:spacing w:val="-2"/>
          <w:szCs w:val="22"/>
        </w:rPr>
        <w:footnoteReference w:id="198"/>
      </w:r>
      <w:r>
        <w:rPr>
          <w:spacing w:val="-2"/>
          <w:szCs w:val="22"/>
        </w:rPr>
        <w:t xml:space="preserve">  </w:t>
      </w:r>
      <w:r w:rsidRPr="0065680B">
        <w:rPr>
          <w:spacing w:val="-2"/>
          <w:szCs w:val="22"/>
        </w:rPr>
        <w:t>The SBA has developed a small business size standard for this category, which is:  all such firms having 1,500 or fewer employees.</w:t>
      </w:r>
      <w:r>
        <w:rPr>
          <w:rStyle w:val="FootnoteReference"/>
          <w:spacing w:val="-2"/>
          <w:szCs w:val="22"/>
        </w:rPr>
        <w:footnoteReference w:id="199"/>
      </w:r>
      <w:r w:rsidRPr="0065680B">
        <w:rPr>
          <w:spacing w:val="-2"/>
          <w:szCs w:val="22"/>
        </w:rPr>
        <w:t xml:space="preserve">  Census data for 2007 shows that there were </w:t>
      </w:r>
      <w:r>
        <w:rPr>
          <w:spacing w:val="-2"/>
          <w:szCs w:val="22"/>
        </w:rPr>
        <w:t xml:space="preserve">31,996 establishments that operated </w:t>
      </w:r>
      <w:r w:rsidRPr="0065680B">
        <w:rPr>
          <w:spacing w:val="-2"/>
          <w:szCs w:val="22"/>
        </w:rPr>
        <w:t xml:space="preserve">that year.   Of those </w:t>
      </w:r>
      <w:r>
        <w:rPr>
          <w:spacing w:val="-2"/>
          <w:szCs w:val="22"/>
        </w:rPr>
        <w:t>31,996, 1,818</w:t>
      </w:r>
      <w:r w:rsidRPr="0065680B">
        <w:rPr>
          <w:spacing w:val="-2"/>
          <w:szCs w:val="22"/>
        </w:rPr>
        <w:t xml:space="preserve"> had </w:t>
      </w:r>
      <w:r>
        <w:rPr>
          <w:spacing w:val="-2"/>
          <w:szCs w:val="22"/>
        </w:rPr>
        <w:t>more</w:t>
      </w:r>
      <w:r w:rsidRPr="0065680B">
        <w:rPr>
          <w:spacing w:val="-2"/>
          <w:szCs w:val="22"/>
        </w:rPr>
        <w:t xml:space="preserve"> than 100 employees, and </w:t>
      </w:r>
      <w:r>
        <w:rPr>
          <w:spacing w:val="-2"/>
          <w:szCs w:val="22"/>
        </w:rPr>
        <w:t>30,178 operated with fewer than 100 employees</w:t>
      </w:r>
      <w:r w:rsidRPr="0065680B">
        <w:rPr>
          <w:spacing w:val="-2"/>
          <w:szCs w:val="22"/>
        </w:rPr>
        <w:t xml:space="preserve">.  Thus under this </w:t>
      </w:r>
      <w:r>
        <w:rPr>
          <w:spacing w:val="-2"/>
          <w:szCs w:val="22"/>
        </w:rPr>
        <w:t xml:space="preserve">size standard, </w:t>
      </w:r>
      <w:r w:rsidRPr="0065680B">
        <w:rPr>
          <w:spacing w:val="-2"/>
          <w:szCs w:val="22"/>
        </w:rPr>
        <w:t xml:space="preserve">the majority of firms </w:t>
      </w:r>
      <w:r>
        <w:rPr>
          <w:spacing w:val="-2"/>
          <w:szCs w:val="22"/>
        </w:rPr>
        <w:t xml:space="preserve">offering cable and other program distribution services </w:t>
      </w:r>
      <w:r w:rsidRPr="0065680B">
        <w:rPr>
          <w:spacing w:val="-2"/>
          <w:szCs w:val="22"/>
        </w:rPr>
        <w:t>can be considered small</w:t>
      </w:r>
      <w:r>
        <w:rPr>
          <w:spacing w:val="-2"/>
          <w:szCs w:val="22"/>
        </w:rPr>
        <w:t xml:space="preserve"> and may be affected by rules adopted</w:t>
      </w:r>
      <w:r w:rsidRPr="0065680B">
        <w:rPr>
          <w:spacing w:val="-2"/>
          <w:szCs w:val="22"/>
        </w:rPr>
        <w:t>.</w:t>
      </w:r>
    </w:p>
    <w:p w:rsidR="00264877" w:rsidRPr="0065680B"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2</w:t>
      </w:r>
      <w:r w:rsidRPr="0065680B">
        <w:rPr>
          <w:spacing w:val="-2"/>
          <w:szCs w:val="22"/>
        </w:rPr>
        <w:t>0.</w:t>
      </w:r>
      <w:r w:rsidRPr="0065680B">
        <w:rPr>
          <w:spacing w:val="-2"/>
          <w:szCs w:val="22"/>
        </w:rPr>
        <w:tab/>
      </w:r>
      <w:r w:rsidRPr="00FB045B">
        <w:rPr>
          <w:b/>
          <w:spacing w:val="-2"/>
          <w:szCs w:val="22"/>
        </w:rPr>
        <w:t>Cable Companies and Systems</w:t>
      </w:r>
      <w:r w:rsidRPr="0065680B">
        <w:rPr>
          <w:spacing w:val="-2"/>
          <w:szCs w:val="22"/>
        </w:rPr>
        <w:t>.  The Commission has developed its own small business size standards, for the purpose of cable rate regulation.  Under the Commission’s rules, a “small cable company” is one serving 400,000 or fewer subscribers, nationwide.</w:t>
      </w:r>
      <w:r>
        <w:rPr>
          <w:rStyle w:val="FootnoteReference"/>
          <w:spacing w:val="-2"/>
          <w:szCs w:val="22"/>
        </w:rPr>
        <w:footnoteReference w:id="200"/>
      </w:r>
      <w:r>
        <w:rPr>
          <w:spacing w:val="-2"/>
          <w:szCs w:val="22"/>
        </w:rPr>
        <w:t xml:space="preserve">  </w:t>
      </w:r>
      <w:r w:rsidRPr="0065680B">
        <w:rPr>
          <w:spacing w:val="-2"/>
          <w:szCs w:val="22"/>
        </w:rPr>
        <w:t>Industry data indicate that, of 1,076 cable operators nationwide, all but eleven are small under this size standard.</w:t>
      </w:r>
      <w:r>
        <w:rPr>
          <w:rStyle w:val="FootnoteReference"/>
          <w:spacing w:val="-2"/>
          <w:szCs w:val="22"/>
        </w:rPr>
        <w:footnoteReference w:id="201"/>
      </w:r>
      <w:r>
        <w:rPr>
          <w:spacing w:val="-2"/>
          <w:szCs w:val="22"/>
        </w:rPr>
        <w:t xml:space="preserve"> </w:t>
      </w:r>
      <w:r w:rsidRPr="0065680B">
        <w:rPr>
          <w:spacing w:val="-2"/>
          <w:szCs w:val="22"/>
        </w:rPr>
        <w:t xml:space="preserve"> In addition, under the Commission’s rules, a “small system” is a cable system serving 15,000 or fewer subscribers.</w:t>
      </w:r>
      <w:r>
        <w:rPr>
          <w:rStyle w:val="FootnoteReference"/>
          <w:spacing w:val="-2"/>
          <w:szCs w:val="22"/>
        </w:rPr>
        <w:footnoteReference w:id="202"/>
      </w:r>
      <w:r w:rsidRPr="0065680B">
        <w:rPr>
          <w:spacing w:val="-2"/>
          <w:szCs w:val="22"/>
        </w:rPr>
        <w:t xml:space="preserve">   Industry data indicate that, of 6,635 systems nationwide, 5,802 systems have under 10,000 subscribers, and an additional 302 systems have 10,000-19,999 subscribers.</w:t>
      </w:r>
      <w:r>
        <w:rPr>
          <w:rStyle w:val="FootnoteReference"/>
          <w:spacing w:val="-2"/>
          <w:szCs w:val="22"/>
        </w:rPr>
        <w:footnoteReference w:id="203"/>
      </w:r>
      <w:r w:rsidRPr="0065680B">
        <w:rPr>
          <w:spacing w:val="-2"/>
          <w:szCs w:val="22"/>
        </w:rPr>
        <w:t xml:space="preserve">   Thus, under this second size standar</w:t>
      </w:r>
      <w:r>
        <w:rPr>
          <w:spacing w:val="-2"/>
          <w:szCs w:val="22"/>
        </w:rPr>
        <w:t>d, most cable systems are small and may be affected by rules adopted.</w:t>
      </w:r>
    </w:p>
    <w:p w:rsidR="00264877" w:rsidRDefault="00264877" w:rsidP="00264877">
      <w:pPr>
        <w:tabs>
          <w:tab w:val="left" w:pos="1440"/>
        </w:tabs>
        <w:suppressAutoHyphens/>
        <w:spacing w:line="240" w:lineRule="atLeast"/>
        <w:ind w:firstLine="720"/>
        <w:rPr>
          <w:spacing w:val="-2"/>
          <w:szCs w:val="22"/>
        </w:rPr>
      </w:pPr>
    </w:p>
    <w:p w:rsidR="00264877" w:rsidRPr="00EC2B2C" w:rsidRDefault="00264877" w:rsidP="00264877">
      <w:pPr>
        <w:tabs>
          <w:tab w:val="left" w:pos="1440"/>
        </w:tabs>
        <w:suppressAutoHyphens/>
        <w:spacing w:line="240" w:lineRule="atLeast"/>
        <w:ind w:firstLine="720"/>
        <w:rPr>
          <w:spacing w:val="-2"/>
          <w:szCs w:val="22"/>
        </w:rPr>
      </w:pPr>
      <w:r>
        <w:rPr>
          <w:spacing w:val="-2"/>
          <w:szCs w:val="22"/>
        </w:rPr>
        <w:t>21.</w:t>
      </w:r>
      <w:r>
        <w:rPr>
          <w:spacing w:val="-2"/>
          <w:szCs w:val="22"/>
        </w:rPr>
        <w:tab/>
      </w:r>
      <w:r w:rsidRPr="00A205F0">
        <w:rPr>
          <w:b/>
          <w:spacing w:val="-2"/>
          <w:szCs w:val="22"/>
        </w:rPr>
        <w:t>All Other Telecommunications</w:t>
      </w:r>
      <w:r w:rsidRPr="00A205F0">
        <w:rPr>
          <w:spacing w:val="-2"/>
          <w:szCs w:val="22"/>
        </w:rPr>
        <w:t xml:space="preserve">. </w:t>
      </w:r>
      <w:r>
        <w:rPr>
          <w:spacing w:val="-2"/>
          <w:szCs w:val="22"/>
        </w:rPr>
        <w:t xml:space="preserve"> </w:t>
      </w:r>
      <w:r w:rsidRPr="00A205F0">
        <w:rPr>
          <w:spacing w:val="-2"/>
          <w:szCs w:val="22"/>
        </w:rPr>
        <w:t>The Census Bureau defines this industry as including</w:t>
      </w:r>
      <w:r>
        <w:rPr>
          <w:spacing w:val="-2"/>
          <w:szCs w:val="22"/>
        </w:rPr>
        <w:t xml:space="preserve"> </w:t>
      </w:r>
      <w:r w:rsidRPr="00A205F0">
        <w:rPr>
          <w:spacing w:val="-2"/>
          <w:szCs w:val="22"/>
        </w:rPr>
        <w:t>“establishments primarily engaged in providing specialized telecommunications services, such as satellite</w:t>
      </w:r>
      <w:r>
        <w:rPr>
          <w:spacing w:val="-2"/>
          <w:szCs w:val="22"/>
        </w:rPr>
        <w:t xml:space="preserve"> </w:t>
      </w:r>
      <w:r w:rsidRPr="00A205F0">
        <w:rPr>
          <w:spacing w:val="-2"/>
          <w:szCs w:val="22"/>
        </w:rPr>
        <w:t xml:space="preserve">tracking, communications telemetry, and radar station operation. </w:t>
      </w:r>
      <w:r>
        <w:rPr>
          <w:spacing w:val="-2"/>
          <w:szCs w:val="22"/>
        </w:rPr>
        <w:t xml:space="preserve"> </w:t>
      </w:r>
      <w:r w:rsidRPr="00A205F0">
        <w:rPr>
          <w:spacing w:val="-2"/>
          <w:szCs w:val="22"/>
        </w:rPr>
        <w:t>This industry also includes</w:t>
      </w:r>
      <w:r>
        <w:rPr>
          <w:spacing w:val="-2"/>
          <w:szCs w:val="22"/>
        </w:rPr>
        <w:t xml:space="preserve"> </w:t>
      </w:r>
      <w:r w:rsidRPr="00A205F0">
        <w:rPr>
          <w:spacing w:val="-2"/>
          <w:szCs w:val="22"/>
        </w:rPr>
        <w:t>establishments</w:t>
      </w:r>
      <w:r>
        <w:rPr>
          <w:spacing w:val="-2"/>
          <w:szCs w:val="22"/>
        </w:rPr>
        <w:t xml:space="preserve"> </w:t>
      </w:r>
      <w:r w:rsidRPr="00A205F0">
        <w:rPr>
          <w:spacing w:val="-2"/>
          <w:szCs w:val="22"/>
        </w:rPr>
        <w:t>primarily engaged in providing satellite terminal stations and associated facilities</w:t>
      </w:r>
      <w:r>
        <w:rPr>
          <w:spacing w:val="-2"/>
          <w:szCs w:val="22"/>
        </w:rPr>
        <w:t xml:space="preserve"> </w:t>
      </w:r>
      <w:r w:rsidRPr="00A205F0">
        <w:rPr>
          <w:spacing w:val="-2"/>
          <w:szCs w:val="22"/>
        </w:rPr>
        <w:t>connected with one or</w:t>
      </w:r>
      <w:r>
        <w:rPr>
          <w:spacing w:val="-2"/>
          <w:szCs w:val="22"/>
        </w:rPr>
        <w:t xml:space="preserve"> </w:t>
      </w:r>
      <w:r w:rsidRPr="00A205F0">
        <w:rPr>
          <w:spacing w:val="-2"/>
          <w:szCs w:val="22"/>
        </w:rPr>
        <w:lastRenderedPageBreak/>
        <w:t>more terrestrial systems and capable of transmitting telecommunications to, and</w:t>
      </w:r>
      <w:r>
        <w:rPr>
          <w:spacing w:val="-2"/>
          <w:szCs w:val="22"/>
        </w:rPr>
        <w:t xml:space="preserve"> </w:t>
      </w:r>
      <w:r w:rsidRPr="00A205F0">
        <w:rPr>
          <w:spacing w:val="-2"/>
          <w:szCs w:val="22"/>
        </w:rPr>
        <w:t>receiving</w:t>
      </w:r>
      <w:r>
        <w:rPr>
          <w:spacing w:val="-2"/>
          <w:szCs w:val="22"/>
        </w:rPr>
        <w:t xml:space="preserve"> </w:t>
      </w:r>
      <w:r w:rsidRPr="00A205F0">
        <w:rPr>
          <w:spacing w:val="-2"/>
          <w:szCs w:val="22"/>
        </w:rPr>
        <w:t xml:space="preserve">telecommunications from, satellite systems. </w:t>
      </w:r>
      <w:r>
        <w:rPr>
          <w:spacing w:val="-2"/>
          <w:szCs w:val="22"/>
        </w:rPr>
        <w:t xml:space="preserve"> </w:t>
      </w:r>
      <w:r w:rsidRPr="00A205F0">
        <w:rPr>
          <w:spacing w:val="-2"/>
          <w:szCs w:val="22"/>
        </w:rPr>
        <w:t>Establishments providing Internet services or</w:t>
      </w:r>
      <w:r>
        <w:rPr>
          <w:spacing w:val="-2"/>
          <w:szCs w:val="22"/>
        </w:rPr>
        <w:t xml:space="preserve"> </w:t>
      </w:r>
      <w:r w:rsidRPr="00A205F0">
        <w:rPr>
          <w:spacing w:val="-2"/>
          <w:szCs w:val="22"/>
        </w:rPr>
        <w:t>Voice over</w:t>
      </w:r>
      <w:r>
        <w:rPr>
          <w:spacing w:val="-2"/>
          <w:szCs w:val="22"/>
        </w:rPr>
        <w:t xml:space="preserve"> </w:t>
      </w:r>
      <w:r w:rsidRPr="00A205F0">
        <w:rPr>
          <w:spacing w:val="-2"/>
          <w:szCs w:val="22"/>
        </w:rPr>
        <w:t>Internet Protocol (VoIP) services via client-supplied telecommunications connections are also</w:t>
      </w:r>
      <w:r>
        <w:rPr>
          <w:spacing w:val="-2"/>
          <w:szCs w:val="22"/>
        </w:rPr>
        <w:t xml:space="preserve"> </w:t>
      </w:r>
      <w:r w:rsidRPr="00A205F0">
        <w:rPr>
          <w:spacing w:val="-2"/>
          <w:szCs w:val="22"/>
        </w:rPr>
        <w:t>included in</w:t>
      </w:r>
      <w:r>
        <w:rPr>
          <w:spacing w:val="-2"/>
          <w:szCs w:val="22"/>
        </w:rPr>
        <w:t xml:space="preserve"> this industry.”</w:t>
      </w:r>
      <w:r>
        <w:rPr>
          <w:rStyle w:val="FootnoteReference"/>
          <w:spacing w:val="-2"/>
          <w:szCs w:val="22"/>
        </w:rPr>
        <w:footnoteReference w:id="204"/>
      </w:r>
      <w:r>
        <w:rPr>
          <w:spacing w:val="-2"/>
          <w:szCs w:val="22"/>
        </w:rPr>
        <w:t xml:space="preserve">  </w:t>
      </w:r>
      <w:r w:rsidRPr="00A205F0">
        <w:rPr>
          <w:spacing w:val="-2"/>
          <w:szCs w:val="22"/>
        </w:rPr>
        <w:t>The SBA has developed a small business size standard for this category; that</w:t>
      </w:r>
      <w:r>
        <w:rPr>
          <w:spacing w:val="-2"/>
          <w:szCs w:val="22"/>
        </w:rPr>
        <w:t xml:space="preserve"> </w:t>
      </w:r>
      <w:r w:rsidRPr="00A205F0">
        <w:rPr>
          <w:spacing w:val="-2"/>
          <w:szCs w:val="22"/>
        </w:rPr>
        <w:t>size standard</w:t>
      </w:r>
      <w:r>
        <w:rPr>
          <w:spacing w:val="-2"/>
          <w:szCs w:val="22"/>
        </w:rPr>
        <w:t xml:space="preserve"> </w:t>
      </w:r>
      <w:r w:rsidRPr="00BB0957">
        <w:rPr>
          <w:spacing w:val="-2"/>
          <w:szCs w:val="22"/>
        </w:rPr>
        <w:t>is $30.0 million or less in average annual receipts.</w:t>
      </w:r>
      <w:r w:rsidRPr="00BB0957">
        <w:rPr>
          <w:rStyle w:val="FootnoteReference"/>
          <w:spacing w:val="-2"/>
          <w:szCs w:val="22"/>
        </w:rPr>
        <w:footnoteReference w:id="205"/>
      </w:r>
      <w:r w:rsidRPr="00BB0957">
        <w:rPr>
          <w:spacing w:val="-2"/>
          <w:szCs w:val="22"/>
        </w:rPr>
        <w:t xml:space="preserve">  According to Census Bureau data for 2007, there were 2,623 firms in this category that operated for the entire year.</w:t>
      </w:r>
      <w:r w:rsidRPr="00BB0957">
        <w:rPr>
          <w:rStyle w:val="FootnoteReference"/>
          <w:spacing w:val="-2"/>
          <w:szCs w:val="22"/>
        </w:rPr>
        <w:footnoteReference w:id="206"/>
      </w:r>
      <w:r w:rsidRPr="00BB0957">
        <w:rPr>
          <w:spacing w:val="-2"/>
          <w:szCs w:val="22"/>
        </w:rPr>
        <w:t xml:space="preserve">  Of these, 2478 establishments had annual receipts of under $10 million and 145 establishments had annual receipts of $10 million or more.</w:t>
      </w:r>
      <w:r w:rsidRPr="00BB0957">
        <w:rPr>
          <w:rStyle w:val="FootnoteReference"/>
          <w:spacing w:val="-2"/>
          <w:szCs w:val="22"/>
        </w:rPr>
        <w:footnoteReference w:id="207"/>
      </w:r>
      <w:r w:rsidRPr="00BB0957">
        <w:rPr>
          <w:spacing w:val="-2"/>
          <w:szCs w:val="22"/>
        </w:rPr>
        <w:t xml:space="preserve"> Consequently, we estimate that the majority of these firms are small entities that may be affected by our action.  In addition, some small businesses whose primary line of business does not involve provision of communications services hold FCC licenses or other authorizations for purposes incidental to their primary business.  We do not have a reliable estimate of how many of these entities are small businesses.</w:t>
      </w:r>
      <w:r w:rsidRPr="00EC2B2C">
        <w:rPr>
          <w:spacing w:val="-2"/>
          <w:szCs w:val="22"/>
        </w:rPr>
        <w:t xml:space="preserve">  </w:t>
      </w:r>
    </w:p>
    <w:p w:rsidR="00264877" w:rsidRDefault="00264877" w:rsidP="00264877">
      <w:pPr>
        <w:tabs>
          <w:tab w:val="left" w:pos="1440"/>
        </w:tabs>
        <w:suppressAutoHyphens/>
        <w:spacing w:line="240" w:lineRule="atLeast"/>
        <w:ind w:firstLine="720"/>
        <w:jc w:val="center"/>
        <w:rPr>
          <w:spacing w:val="-2"/>
          <w:szCs w:val="22"/>
        </w:rPr>
      </w:pPr>
      <w:r w:rsidRPr="007521D5">
        <w:rPr>
          <w:spacing w:val="-2"/>
          <w:szCs w:val="22"/>
        </w:rPr>
        <w:tab/>
      </w:r>
      <w:bookmarkStart w:id="311" w:name="_Toc390878820"/>
    </w:p>
    <w:p w:rsidR="00264877" w:rsidRPr="00F95B79" w:rsidRDefault="00264877" w:rsidP="00264877">
      <w:pPr>
        <w:pStyle w:val="Heading2"/>
      </w:pPr>
      <w:bookmarkStart w:id="312" w:name="_Toc391364453"/>
      <w:bookmarkStart w:id="313" w:name="_Toc394672341"/>
      <w:bookmarkStart w:id="314" w:name="_Toc397078349"/>
      <w:r w:rsidRPr="00F95B79">
        <w:t>Description of Projected Reporting, Recordkeeping and Other Compliance Requirements</w:t>
      </w:r>
      <w:bookmarkEnd w:id="311"/>
      <w:bookmarkEnd w:id="312"/>
      <w:bookmarkEnd w:id="313"/>
      <w:bookmarkEnd w:id="314"/>
    </w:p>
    <w:p w:rsidR="00264877" w:rsidRPr="004C189F" w:rsidRDefault="00264877" w:rsidP="00264877">
      <w:pPr>
        <w:tabs>
          <w:tab w:val="left" w:pos="1440"/>
        </w:tabs>
        <w:suppressAutoHyphens/>
        <w:spacing w:line="240" w:lineRule="atLeast"/>
        <w:ind w:firstLine="720"/>
        <w:jc w:val="center"/>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2</w:t>
      </w:r>
      <w:r w:rsidRPr="007521D5">
        <w:rPr>
          <w:spacing w:val="-2"/>
          <w:szCs w:val="22"/>
        </w:rPr>
        <w:t>2.</w:t>
      </w:r>
      <w:r w:rsidRPr="007521D5">
        <w:rPr>
          <w:spacing w:val="-2"/>
          <w:szCs w:val="22"/>
        </w:rPr>
        <w:tab/>
        <w:t xml:space="preserve">This </w:t>
      </w:r>
      <w:r>
        <w:rPr>
          <w:spacing w:val="-2"/>
          <w:szCs w:val="22"/>
        </w:rPr>
        <w:t>Report and Order does not adopt any new reporting, recordkeeping, or other compliance requirements.</w:t>
      </w:r>
      <w:bookmarkStart w:id="315" w:name="_Toc390878821"/>
    </w:p>
    <w:p w:rsidR="00264877" w:rsidRDefault="00264877" w:rsidP="00264877">
      <w:pPr>
        <w:tabs>
          <w:tab w:val="left" w:pos="1440"/>
        </w:tabs>
        <w:suppressAutoHyphens/>
        <w:spacing w:line="240" w:lineRule="atLeast"/>
        <w:ind w:firstLine="720"/>
        <w:rPr>
          <w:spacing w:val="-2"/>
          <w:szCs w:val="22"/>
        </w:rPr>
      </w:pPr>
    </w:p>
    <w:p w:rsidR="00264877" w:rsidRPr="00F95B79" w:rsidRDefault="00264877" w:rsidP="00264877">
      <w:pPr>
        <w:pStyle w:val="Heading2"/>
      </w:pPr>
      <w:bookmarkStart w:id="316" w:name="_Toc391364454"/>
      <w:bookmarkStart w:id="317" w:name="_Toc394672342"/>
      <w:bookmarkStart w:id="318" w:name="_Toc397078350"/>
      <w:r w:rsidRPr="00F95B79">
        <w:t>Steps Taken to Minimize Significant Economic Impact on Small Entities, and Significant Alternatives Considered</w:t>
      </w:r>
      <w:bookmarkEnd w:id="315"/>
      <w:bookmarkEnd w:id="316"/>
      <w:bookmarkEnd w:id="317"/>
      <w:bookmarkEnd w:id="318"/>
    </w:p>
    <w:p w:rsidR="00264877" w:rsidRPr="007521D5" w:rsidRDefault="00264877" w:rsidP="00264877">
      <w:pPr>
        <w:tabs>
          <w:tab w:val="left" w:pos="1440"/>
        </w:tabs>
        <w:suppressAutoHyphens/>
        <w:spacing w:line="240" w:lineRule="atLeast"/>
        <w:ind w:firstLine="720"/>
      </w:pPr>
    </w:p>
    <w:p w:rsidR="00264877" w:rsidRDefault="00264877" w:rsidP="00264877">
      <w:pPr>
        <w:tabs>
          <w:tab w:val="left" w:pos="1440"/>
        </w:tabs>
        <w:suppressAutoHyphens/>
        <w:spacing w:line="240" w:lineRule="atLeast"/>
        <w:ind w:firstLine="720"/>
        <w:rPr>
          <w:spacing w:val="-2"/>
          <w:szCs w:val="22"/>
        </w:rPr>
      </w:pPr>
      <w:r>
        <w:rPr>
          <w:spacing w:val="-2"/>
          <w:szCs w:val="22"/>
        </w:rPr>
        <w:t>2</w:t>
      </w:r>
      <w:r w:rsidRPr="007521D5">
        <w:rPr>
          <w:spacing w:val="-2"/>
          <w:szCs w:val="22"/>
        </w:rPr>
        <w:t>3.</w:t>
      </w:r>
      <w:r w:rsidRPr="007521D5">
        <w:rPr>
          <w:spacing w:val="-2"/>
          <w:szCs w:val="22"/>
        </w:rPr>
        <w:tab/>
        <w:t>The RFA requires an agency to describe any significant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spacing w:val="-2"/>
          <w:szCs w:val="22"/>
        </w:rPr>
        <w:footnoteReference w:id="208"/>
      </w:r>
      <w:r w:rsidRPr="007521D5">
        <w:rPr>
          <w:spacing w:val="-2"/>
          <w:szCs w:val="22"/>
        </w:rPr>
        <w:t xml:space="preserve">   </w:t>
      </w:r>
    </w:p>
    <w:p w:rsidR="00264877" w:rsidRDefault="00264877" w:rsidP="00264877">
      <w:pPr>
        <w:tabs>
          <w:tab w:val="left" w:pos="1440"/>
        </w:tabs>
        <w:suppressAutoHyphens/>
        <w:spacing w:line="240" w:lineRule="atLeast"/>
        <w:ind w:firstLine="720"/>
        <w:rPr>
          <w:spacing w:val="-2"/>
          <w:szCs w:val="22"/>
        </w:rPr>
      </w:pPr>
    </w:p>
    <w:p w:rsidR="00264877" w:rsidRDefault="00264877" w:rsidP="00264877">
      <w:pPr>
        <w:tabs>
          <w:tab w:val="left" w:pos="1440"/>
        </w:tabs>
        <w:suppressAutoHyphens/>
        <w:spacing w:line="240" w:lineRule="atLeast"/>
        <w:ind w:firstLine="720"/>
        <w:rPr>
          <w:spacing w:val="-2"/>
          <w:szCs w:val="22"/>
        </w:rPr>
      </w:pPr>
      <w:r>
        <w:rPr>
          <w:spacing w:val="-2"/>
          <w:szCs w:val="22"/>
        </w:rPr>
        <w:t>24.</w:t>
      </w:r>
      <w:r>
        <w:rPr>
          <w:spacing w:val="-2"/>
          <w:szCs w:val="22"/>
        </w:rPr>
        <w:tab/>
        <w:t xml:space="preserve">This Report and Order does not adopt any new reporting requirements.  Therefore no adverse economic impact on small entities will be sustained based on reporting requirements.  There may be </w:t>
      </w:r>
      <w:r>
        <w:rPr>
          <w:szCs w:val="22"/>
        </w:rPr>
        <w:t xml:space="preserve">a regulatory fee increase </w:t>
      </w:r>
      <w:r>
        <w:rPr>
          <w:spacing w:val="-2"/>
          <w:szCs w:val="22"/>
        </w:rPr>
        <w:t xml:space="preserve">on small entities, in some cases and in some industries, but if so it would be specifically in furtherance of the reform measures.  We are mitigating fee increases to small entities, and other entities, by, for example, raising the de minimis threshold from $10 to $500 and eliminating </w:t>
      </w:r>
      <w:r>
        <w:rPr>
          <w:szCs w:val="22"/>
        </w:rPr>
        <w:t>several regulatory fee categories (</w:t>
      </w:r>
      <w:r w:rsidR="00F97911">
        <w:rPr>
          <w:szCs w:val="22"/>
        </w:rPr>
        <w:t>218-</w:t>
      </w:r>
      <w:r>
        <w:rPr>
          <w:szCs w:val="22"/>
        </w:rPr>
        <w:t xml:space="preserve">219 MHz, broadcast auxiliaries, and satellite </w:t>
      </w:r>
      <w:r w:rsidR="00F85AB7">
        <w:rPr>
          <w:szCs w:val="22"/>
        </w:rPr>
        <w:t xml:space="preserve">television </w:t>
      </w:r>
      <w:r>
        <w:rPr>
          <w:szCs w:val="22"/>
        </w:rPr>
        <w:t>construction permits) from regulatory fee requirements</w:t>
      </w:r>
      <w:r w:rsidRPr="00A41ABA">
        <w:rPr>
          <w:spacing w:val="-2"/>
          <w:szCs w:val="22"/>
        </w:rPr>
        <w:t>.  In keeping with the requirements of the Regulatory Flexibility Act, we have considered certain alternative means of mitigating the effects of fee increases to a particular industry segment.  In addition, the Commission’s rules provide a process by which regulatory fee payors may seek waivers or other relief on the basis of financial hardship.  47 C.F.R. §1.1166</w:t>
      </w:r>
      <w:r w:rsidRPr="00EC2B2C">
        <w:rPr>
          <w:spacing w:val="-2"/>
          <w:szCs w:val="22"/>
        </w:rPr>
        <w:t xml:space="preserve"> </w:t>
      </w:r>
      <w:bookmarkStart w:id="319" w:name="_Toc390878822"/>
    </w:p>
    <w:p w:rsidR="00264877" w:rsidRDefault="00264877" w:rsidP="00264877">
      <w:pPr>
        <w:tabs>
          <w:tab w:val="left" w:pos="1440"/>
        </w:tabs>
        <w:suppressAutoHyphens/>
        <w:spacing w:line="240" w:lineRule="atLeast"/>
        <w:ind w:firstLine="720"/>
        <w:rPr>
          <w:spacing w:val="-2"/>
          <w:szCs w:val="22"/>
        </w:rPr>
      </w:pPr>
    </w:p>
    <w:p w:rsidR="00264877" w:rsidRPr="00F95B79" w:rsidRDefault="00264877" w:rsidP="00264877">
      <w:pPr>
        <w:pStyle w:val="Heading2"/>
      </w:pPr>
      <w:bookmarkStart w:id="320" w:name="_Toc391364455"/>
      <w:bookmarkStart w:id="321" w:name="_Toc394672343"/>
      <w:bookmarkStart w:id="322" w:name="_Toc397078351"/>
      <w:r w:rsidRPr="00F95B79">
        <w:lastRenderedPageBreak/>
        <w:t>Federal Rules that May Duplicate, Overlap, or Conflict</w:t>
      </w:r>
      <w:bookmarkEnd w:id="320"/>
      <w:bookmarkEnd w:id="321"/>
      <w:bookmarkEnd w:id="322"/>
      <w:r w:rsidRPr="00F95B79">
        <w:t xml:space="preserve"> </w:t>
      </w:r>
      <w:bookmarkEnd w:id="319"/>
    </w:p>
    <w:p w:rsidR="00264877" w:rsidRPr="004C189F" w:rsidRDefault="00264877" w:rsidP="00264877">
      <w:pPr>
        <w:tabs>
          <w:tab w:val="left" w:pos="1440"/>
        </w:tabs>
        <w:suppressAutoHyphens/>
        <w:spacing w:line="240" w:lineRule="atLeast"/>
        <w:ind w:firstLine="720"/>
        <w:rPr>
          <w:spacing w:val="-2"/>
          <w:szCs w:val="22"/>
        </w:rPr>
      </w:pPr>
    </w:p>
    <w:p w:rsidR="00264877" w:rsidRPr="007521D5" w:rsidRDefault="00264877" w:rsidP="00264877">
      <w:pPr>
        <w:tabs>
          <w:tab w:val="left" w:pos="1440"/>
        </w:tabs>
        <w:suppressAutoHyphens/>
        <w:spacing w:line="240" w:lineRule="atLeast"/>
        <w:ind w:firstLine="720"/>
        <w:rPr>
          <w:spacing w:val="-2"/>
          <w:szCs w:val="22"/>
        </w:rPr>
      </w:pPr>
      <w:r>
        <w:rPr>
          <w:spacing w:val="-2"/>
          <w:szCs w:val="22"/>
        </w:rPr>
        <w:t>26</w:t>
      </w:r>
      <w:r w:rsidRPr="007521D5">
        <w:rPr>
          <w:spacing w:val="-2"/>
          <w:szCs w:val="22"/>
        </w:rPr>
        <w:t>.</w:t>
      </w:r>
      <w:r w:rsidRPr="007521D5">
        <w:rPr>
          <w:spacing w:val="-2"/>
          <w:szCs w:val="22"/>
        </w:rPr>
        <w:tab/>
        <w:t>None.</w:t>
      </w:r>
    </w:p>
    <w:p w:rsidR="003B5035" w:rsidRDefault="003B5035" w:rsidP="00264877">
      <w:pPr>
        <w:tabs>
          <w:tab w:val="left" w:pos="1440"/>
        </w:tabs>
        <w:suppressAutoHyphens/>
        <w:spacing w:line="240" w:lineRule="atLeast"/>
        <w:ind w:firstLine="720"/>
        <w:jc w:val="center"/>
        <w:rPr>
          <w:spacing w:val="-2"/>
          <w:szCs w:val="22"/>
        </w:rPr>
      </w:pPr>
    </w:p>
    <w:p w:rsidR="00F719FB" w:rsidRDefault="00F719FB">
      <w:pPr>
        <w:widowControl/>
        <w:rPr>
          <w:spacing w:val="-2"/>
          <w:szCs w:val="22"/>
        </w:rPr>
        <w:sectPr w:rsidR="00F719FB" w:rsidSect="00DD2A3A">
          <w:footnotePr>
            <w:numRestart w:val="eachSect"/>
          </w:footnotePr>
          <w:pgSz w:w="12240" w:h="15840"/>
          <w:pgMar w:top="1092" w:right="1440" w:bottom="720" w:left="1440" w:header="720" w:footer="720" w:gutter="0"/>
          <w:cols w:space="720"/>
          <w:titlePg/>
          <w:docGrid w:linePitch="299"/>
        </w:sectPr>
      </w:pPr>
    </w:p>
    <w:p w:rsidR="003B5035" w:rsidRDefault="003B5035">
      <w:pPr>
        <w:widowControl/>
        <w:rPr>
          <w:spacing w:val="-2"/>
          <w:szCs w:val="22"/>
        </w:rPr>
      </w:pPr>
    </w:p>
    <w:p w:rsidR="003B5035" w:rsidRDefault="005261EC" w:rsidP="003B5035">
      <w:pPr>
        <w:tabs>
          <w:tab w:val="left" w:pos="1440"/>
        </w:tabs>
        <w:suppressAutoHyphens/>
        <w:spacing w:line="240" w:lineRule="atLeast"/>
        <w:ind w:firstLine="720"/>
        <w:jc w:val="center"/>
        <w:rPr>
          <w:szCs w:val="22"/>
        </w:rPr>
      </w:pPr>
      <w:r>
        <w:rPr>
          <w:b/>
          <w:szCs w:val="22"/>
        </w:rPr>
        <w:t>APPENDIX</w:t>
      </w:r>
      <w:r w:rsidR="003B5035">
        <w:rPr>
          <w:b/>
          <w:szCs w:val="22"/>
        </w:rPr>
        <w:t xml:space="preserve"> </w:t>
      </w:r>
      <w:r w:rsidR="00DA22A6">
        <w:rPr>
          <w:b/>
          <w:szCs w:val="22"/>
        </w:rPr>
        <w:t>G</w:t>
      </w:r>
      <w:r w:rsidR="003B5035" w:rsidRPr="00D13D5B">
        <w:rPr>
          <w:szCs w:val="22"/>
        </w:rPr>
        <w:t xml:space="preserve"> </w:t>
      </w:r>
    </w:p>
    <w:p w:rsidR="003B5035" w:rsidRDefault="003B5035" w:rsidP="003B5035">
      <w:pPr>
        <w:tabs>
          <w:tab w:val="left" w:pos="1440"/>
        </w:tabs>
        <w:suppressAutoHyphens/>
        <w:spacing w:line="240" w:lineRule="atLeast"/>
        <w:ind w:firstLine="720"/>
        <w:jc w:val="center"/>
        <w:rPr>
          <w:szCs w:val="22"/>
        </w:rPr>
      </w:pPr>
    </w:p>
    <w:p w:rsidR="003B5035" w:rsidRPr="007521D5" w:rsidRDefault="003B5035" w:rsidP="003B5035">
      <w:pPr>
        <w:tabs>
          <w:tab w:val="left" w:pos="1440"/>
        </w:tabs>
        <w:suppressAutoHyphens/>
        <w:spacing w:line="240" w:lineRule="atLeast"/>
        <w:ind w:firstLine="720"/>
        <w:jc w:val="center"/>
        <w:rPr>
          <w:b/>
          <w:spacing w:val="-2"/>
          <w:szCs w:val="22"/>
        </w:rPr>
      </w:pPr>
      <w:r w:rsidRPr="007521D5">
        <w:rPr>
          <w:b/>
          <w:spacing w:val="-2"/>
          <w:szCs w:val="22"/>
        </w:rPr>
        <w:t>Initial Regulatory Flexibility Analysis</w:t>
      </w:r>
    </w:p>
    <w:p w:rsidR="003B5035" w:rsidRPr="007521D5" w:rsidRDefault="003B5035" w:rsidP="003B5035">
      <w:pPr>
        <w:tabs>
          <w:tab w:val="left" w:pos="1440"/>
        </w:tabs>
        <w:suppressAutoHyphens/>
        <w:spacing w:line="240" w:lineRule="atLeast"/>
        <w:ind w:firstLine="720"/>
        <w:jc w:val="center"/>
        <w:rPr>
          <w:b/>
          <w:spacing w:val="-2"/>
          <w:szCs w:val="22"/>
        </w:rPr>
      </w:pPr>
    </w:p>
    <w:p w:rsidR="007159E0" w:rsidRDefault="003B5035" w:rsidP="007159E0">
      <w:pPr>
        <w:tabs>
          <w:tab w:val="left" w:pos="1440"/>
        </w:tabs>
        <w:suppressAutoHyphens/>
        <w:spacing w:line="240" w:lineRule="atLeast"/>
        <w:ind w:firstLine="720"/>
        <w:rPr>
          <w:spacing w:val="-2"/>
          <w:szCs w:val="22"/>
        </w:rPr>
      </w:pPr>
      <w:r w:rsidRPr="007521D5">
        <w:rPr>
          <w:spacing w:val="-2"/>
          <w:szCs w:val="22"/>
        </w:rPr>
        <w:t>1.</w:t>
      </w:r>
      <w:r w:rsidRPr="007521D5">
        <w:rPr>
          <w:spacing w:val="-2"/>
          <w:szCs w:val="22"/>
        </w:rPr>
        <w:tab/>
      </w:r>
      <w:r w:rsidR="007159E0" w:rsidRPr="007521D5">
        <w:rPr>
          <w:spacing w:val="-2"/>
          <w:szCs w:val="22"/>
        </w:rPr>
        <w:t>As required by the Regulatory Flexibility Act (RFA),</w:t>
      </w:r>
      <w:r w:rsidR="007159E0">
        <w:rPr>
          <w:rStyle w:val="FootnoteReference"/>
          <w:spacing w:val="-2"/>
          <w:szCs w:val="22"/>
        </w:rPr>
        <w:footnoteReference w:id="209"/>
      </w:r>
      <w:r w:rsidR="007159E0">
        <w:rPr>
          <w:spacing w:val="-2"/>
          <w:szCs w:val="22"/>
        </w:rPr>
        <w:t xml:space="preserve"> </w:t>
      </w:r>
      <w:r w:rsidR="007159E0" w:rsidRPr="007521D5">
        <w:rPr>
          <w:spacing w:val="-2"/>
          <w:szCs w:val="22"/>
        </w:rPr>
        <w:t>the Commission prepared this Initial Regulatory Flexibility Analysis (IRFA) of the possible significant economic impact on small entities by the policies and rules proposed in th</w:t>
      </w:r>
      <w:r w:rsidR="007159E0">
        <w:rPr>
          <w:spacing w:val="-2"/>
          <w:szCs w:val="22"/>
        </w:rPr>
        <w:t xml:space="preserve">e Further </w:t>
      </w:r>
      <w:r w:rsidR="007159E0" w:rsidRPr="007521D5">
        <w:rPr>
          <w:spacing w:val="-2"/>
          <w:szCs w:val="22"/>
        </w:rPr>
        <w:t>Notice of Proposed Rulemaking</w:t>
      </w:r>
      <w:r w:rsidR="007159E0">
        <w:rPr>
          <w:spacing w:val="-2"/>
          <w:szCs w:val="22"/>
        </w:rPr>
        <w:t xml:space="preserve"> attached to the Report and Order</w:t>
      </w:r>
      <w:r w:rsidR="007159E0" w:rsidRPr="007521D5">
        <w:rPr>
          <w:spacing w:val="-2"/>
          <w:szCs w:val="22"/>
        </w:rPr>
        <w:t xml:space="preserve"> (</w:t>
      </w:r>
      <w:r w:rsidR="007159E0">
        <w:rPr>
          <w:i/>
          <w:spacing w:val="-2"/>
          <w:szCs w:val="22"/>
        </w:rPr>
        <w:t>FNPRM</w:t>
      </w:r>
      <w:r w:rsidR="007159E0" w:rsidRPr="000730A2">
        <w:rPr>
          <w:spacing w:val="-2"/>
          <w:szCs w:val="22"/>
        </w:rPr>
        <w:t>)</w:t>
      </w:r>
      <w:r w:rsidR="007159E0" w:rsidRPr="007521D5">
        <w:rPr>
          <w:spacing w:val="-2"/>
          <w:szCs w:val="22"/>
        </w:rPr>
        <w:t xml:space="preserve">. </w:t>
      </w:r>
      <w:r w:rsidR="007159E0">
        <w:rPr>
          <w:spacing w:val="-2"/>
          <w:szCs w:val="22"/>
        </w:rPr>
        <w:t xml:space="preserve"> </w:t>
      </w:r>
      <w:r w:rsidR="007159E0" w:rsidRPr="007521D5">
        <w:rPr>
          <w:spacing w:val="-2"/>
          <w:szCs w:val="22"/>
        </w:rPr>
        <w:t xml:space="preserve">Written comments are requested on this IRFA.  Comments must be identified as responses to the IRFA and must be filed </w:t>
      </w:r>
      <w:r w:rsidR="007159E0">
        <w:rPr>
          <w:spacing w:val="-2"/>
          <w:szCs w:val="22"/>
        </w:rPr>
        <w:t xml:space="preserve">by the deadline for comments on this </w:t>
      </w:r>
      <w:r w:rsidR="007159E0" w:rsidRPr="00432E28">
        <w:rPr>
          <w:i/>
          <w:spacing w:val="-2"/>
          <w:szCs w:val="22"/>
        </w:rPr>
        <w:t>FNPRM</w:t>
      </w:r>
      <w:r w:rsidR="007159E0" w:rsidRPr="007521D5">
        <w:rPr>
          <w:spacing w:val="-2"/>
          <w:szCs w:val="22"/>
        </w:rPr>
        <w:t xml:space="preserve">.  The Commission will send a copy of the </w:t>
      </w:r>
      <w:r w:rsidR="007159E0" w:rsidRPr="00432E28">
        <w:rPr>
          <w:i/>
          <w:spacing w:val="-2"/>
          <w:szCs w:val="22"/>
        </w:rPr>
        <w:t>FNPRM</w:t>
      </w:r>
      <w:r w:rsidR="007159E0" w:rsidRPr="007521D5">
        <w:rPr>
          <w:spacing w:val="-2"/>
          <w:szCs w:val="22"/>
        </w:rPr>
        <w:t>, including the IRFA, to the Chief Counsel for Advocacy of the Small Business Administration (SBA)</w:t>
      </w:r>
      <w:r w:rsidR="007159E0">
        <w:rPr>
          <w:spacing w:val="-2"/>
          <w:szCs w:val="22"/>
        </w:rPr>
        <w:t>.</w:t>
      </w:r>
      <w:r w:rsidR="007159E0">
        <w:rPr>
          <w:rStyle w:val="FootnoteReference"/>
          <w:spacing w:val="-2"/>
          <w:szCs w:val="22"/>
        </w:rPr>
        <w:footnoteReference w:id="210"/>
      </w:r>
      <w:r w:rsidR="007159E0" w:rsidRPr="007521D5">
        <w:rPr>
          <w:spacing w:val="-2"/>
          <w:szCs w:val="22"/>
        </w:rPr>
        <w:t xml:space="preserve">  In addition, the </w:t>
      </w:r>
      <w:r w:rsidR="007159E0" w:rsidRPr="00432E28">
        <w:rPr>
          <w:i/>
          <w:spacing w:val="-2"/>
          <w:szCs w:val="22"/>
        </w:rPr>
        <w:t>FNPRM</w:t>
      </w:r>
      <w:r w:rsidR="007159E0" w:rsidRPr="007521D5">
        <w:rPr>
          <w:spacing w:val="-2"/>
          <w:szCs w:val="22"/>
        </w:rPr>
        <w:t xml:space="preserve"> and IRFA (or summaries thereof) will be published in the Federal Register.</w:t>
      </w:r>
      <w:r w:rsidR="007159E0">
        <w:rPr>
          <w:rStyle w:val="FootnoteReference"/>
          <w:spacing w:val="-2"/>
          <w:szCs w:val="22"/>
        </w:rPr>
        <w:footnoteReference w:id="211"/>
      </w:r>
      <w:r w:rsidR="007159E0" w:rsidRPr="007521D5">
        <w:rPr>
          <w:spacing w:val="-2"/>
          <w:szCs w:val="22"/>
        </w:rPr>
        <w:t xml:space="preserve"> </w:t>
      </w:r>
    </w:p>
    <w:p w:rsidR="007159E0" w:rsidRPr="007521D5" w:rsidRDefault="007159E0" w:rsidP="007159E0">
      <w:pPr>
        <w:tabs>
          <w:tab w:val="left" w:pos="1440"/>
        </w:tabs>
        <w:suppressAutoHyphens/>
        <w:spacing w:line="240" w:lineRule="atLeast"/>
        <w:ind w:firstLine="720"/>
        <w:rPr>
          <w:spacing w:val="-2"/>
          <w:szCs w:val="22"/>
        </w:rPr>
      </w:pPr>
      <w:r w:rsidRPr="007521D5">
        <w:rPr>
          <w:spacing w:val="-2"/>
          <w:szCs w:val="22"/>
        </w:rPr>
        <w:t xml:space="preserve"> </w:t>
      </w:r>
    </w:p>
    <w:p w:rsidR="007159E0" w:rsidRPr="005E4686" w:rsidRDefault="007159E0" w:rsidP="007159E0">
      <w:pPr>
        <w:pStyle w:val="Heading2"/>
        <w:numPr>
          <w:ilvl w:val="0"/>
          <w:numId w:val="46"/>
        </w:numPr>
      </w:pPr>
      <w:bookmarkStart w:id="323" w:name="_Toc397078352"/>
      <w:r w:rsidRPr="005E4686">
        <w:t>Need for, and Objectives of, the</w:t>
      </w:r>
      <w:r>
        <w:t xml:space="preserve"> FNPRM</w:t>
      </w:r>
      <w:bookmarkEnd w:id="323"/>
      <w:r w:rsidRPr="005E4686">
        <w:t xml:space="preserve">  </w:t>
      </w:r>
    </w:p>
    <w:p w:rsidR="007159E0" w:rsidRPr="007521D5" w:rsidRDefault="007159E0" w:rsidP="007159E0">
      <w:pPr>
        <w:tabs>
          <w:tab w:val="left" w:pos="1440"/>
        </w:tabs>
        <w:suppressAutoHyphens/>
        <w:spacing w:line="240" w:lineRule="atLeast"/>
        <w:ind w:firstLine="720"/>
        <w:rPr>
          <w:spacing w:val="-2"/>
          <w:szCs w:val="22"/>
        </w:rPr>
      </w:pPr>
      <w:r w:rsidRPr="007521D5">
        <w:rPr>
          <w:spacing w:val="-2"/>
          <w:szCs w:val="22"/>
        </w:rPr>
        <w:t>2.</w:t>
      </w:r>
      <w:r w:rsidRPr="007521D5">
        <w:rPr>
          <w:spacing w:val="-2"/>
          <w:szCs w:val="22"/>
        </w:rPr>
        <w:tab/>
      </w:r>
      <w:r>
        <w:rPr>
          <w:szCs w:val="22"/>
        </w:rPr>
        <w:t xml:space="preserve">The </w:t>
      </w:r>
      <w:r>
        <w:rPr>
          <w:i/>
          <w:szCs w:val="22"/>
        </w:rPr>
        <w:t xml:space="preserve">FNPRM </w:t>
      </w:r>
      <w:r>
        <w:rPr>
          <w:szCs w:val="22"/>
        </w:rPr>
        <w:t xml:space="preserve">seeks comment regarding the </w:t>
      </w:r>
      <w:r w:rsidRPr="00C21178">
        <w:rPr>
          <w:szCs w:val="22"/>
        </w:rPr>
        <w:t>adoption and implementation of</w:t>
      </w:r>
      <w:r>
        <w:rPr>
          <w:szCs w:val="22"/>
        </w:rPr>
        <w:t xml:space="preserve"> creating a new DBS fee category per section 9 (b) (3), and how a Responsible Organization (RespOrgs) can be held to their regulatory fee obligation for lack of payment.  With respect to establishing a new DBS fee category, the Commission has determined that DBS providers do not qualify as small business entities.  With respect to RespOrgs, the Commission has discovered that while it provides oversight for RespOrgs in various numbering plans, it does not assess a regulatory fee for the resources that it expends.  Consequently, the Commission has decided to assess a fee on this group of regulatees to ensure equitable access to toll free numbers and to minimize the chance that these toll free numbers are not unjustly controlled.  In addition to holding RespOrgs responsible for payment of regulatory fees, the Commission also seeks comment on the extent to which it can revoke an instrument of authorization for failure to pay regulatory fees section 9 (c) (3).  </w:t>
      </w:r>
      <w:r w:rsidRPr="00C21178">
        <w:rPr>
          <w:szCs w:val="22"/>
        </w:rPr>
        <w:t>We invit</w:t>
      </w:r>
      <w:r w:rsidRPr="009D0104">
        <w:rPr>
          <w:szCs w:val="22"/>
        </w:rPr>
        <w:t>e comment on th</w:t>
      </w:r>
      <w:r>
        <w:rPr>
          <w:szCs w:val="22"/>
        </w:rPr>
        <w:t>is</w:t>
      </w:r>
      <w:r w:rsidRPr="009D0104">
        <w:rPr>
          <w:szCs w:val="22"/>
        </w:rPr>
        <w:t xml:space="preserve"> topic to better inform the Commission concerning whether and/or how th</w:t>
      </w:r>
      <w:r>
        <w:rPr>
          <w:szCs w:val="22"/>
        </w:rPr>
        <w:t>is</w:t>
      </w:r>
      <w:r w:rsidRPr="009D0104">
        <w:rPr>
          <w:szCs w:val="22"/>
        </w:rPr>
        <w:t xml:space="preserve"> service should be assessed under our regulatory fee methodology in future years.</w:t>
      </w:r>
      <w:r>
        <w:rPr>
          <w:szCs w:val="22"/>
        </w:rPr>
        <w:t xml:space="preserve">     </w:t>
      </w:r>
      <w:r>
        <w:rPr>
          <w:spacing w:val="-2"/>
          <w:szCs w:val="22"/>
        </w:rPr>
        <w:tab/>
      </w:r>
    </w:p>
    <w:p w:rsidR="007159E0" w:rsidRPr="007521D5" w:rsidRDefault="007159E0" w:rsidP="007159E0">
      <w:pPr>
        <w:tabs>
          <w:tab w:val="left" w:pos="1440"/>
        </w:tabs>
        <w:suppressAutoHyphens/>
        <w:spacing w:line="240" w:lineRule="atLeast"/>
        <w:ind w:firstLine="720"/>
        <w:jc w:val="center"/>
        <w:rPr>
          <w:spacing w:val="-2"/>
          <w:szCs w:val="22"/>
        </w:rPr>
      </w:pPr>
    </w:p>
    <w:p w:rsidR="007159E0" w:rsidRPr="00F131E7" w:rsidRDefault="007159E0" w:rsidP="007159E0">
      <w:pPr>
        <w:tabs>
          <w:tab w:val="left" w:pos="1440"/>
        </w:tabs>
        <w:suppressAutoHyphens/>
        <w:spacing w:line="240" w:lineRule="atLeast"/>
        <w:ind w:firstLine="720"/>
        <w:rPr>
          <w:b/>
          <w:spacing w:val="-2"/>
          <w:szCs w:val="22"/>
        </w:rPr>
      </w:pPr>
      <w:r w:rsidRPr="00F131E7">
        <w:rPr>
          <w:b/>
          <w:spacing w:val="-2"/>
          <w:szCs w:val="22"/>
        </w:rPr>
        <w:t>II.</w:t>
      </w:r>
      <w:r w:rsidRPr="00F131E7">
        <w:rPr>
          <w:b/>
          <w:spacing w:val="-2"/>
          <w:szCs w:val="22"/>
        </w:rPr>
        <w:tab/>
        <w:t>Legal Basis:</w:t>
      </w:r>
    </w:p>
    <w:p w:rsidR="007159E0" w:rsidRPr="007521D5" w:rsidRDefault="007159E0" w:rsidP="007159E0">
      <w:pPr>
        <w:tabs>
          <w:tab w:val="left" w:pos="1440"/>
        </w:tabs>
        <w:suppressAutoHyphens/>
        <w:spacing w:line="240" w:lineRule="atLeast"/>
        <w:ind w:firstLine="720"/>
        <w:jc w:val="center"/>
        <w:rPr>
          <w:spacing w:val="-2"/>
          <w:szCs w:val="22"/>
        </w:rPr>
      </w:pPr>
    </w:p>
    <w:p w:rsidR="007159E0" w:rsidRPr="007521D5" w:rsidRDefault="007159E0" w:rsidP="007159E0">
      <w:pPr>
        <w:tabs>
          <w:tab w:val="left" w:pos="1440"/>
        </w:tabs>
        <w:suppressAutoHyphens/>
        <w:spacing w:line="240" w:lineRule="atLeast"/>
        <w:ind w:firstLine="720"/>
        <w:rPr>
          <w:spacing w:val="-2"/>
          <w:szCs w:val="22"/>
        </w:rPr>
      </w:pPr>
      <w:r>
        <w:rPr>
          <w:spacing w:val="-2"/>
          <w:szCs w:val="22"/>
        </w:rPr>
        <w:t>3</w:t>
      </w:r>
      <w:r w:rsidRPr="007521D5">
        <w:rPr>
          <w:spacing w:val="-2"/>
          <w:szCs w:val="22"/>
        </w:rPr>
        <w:t>.</w:t>
      </w:r>
      <w:r w:rsidRPr="007521D5">
        <w:rPr>
          <w:spacing w:val="-2"/>
          <w:szCs w:val="22"/>
        </w:rPr>
        <w:tab/>
        <w:t>This action, including publication of proposed rules, is authorized under Sections (4)(i) and (j), 9, and 303(r) of the Communications Act of 1934, as amended.</w:t>
      </w:r>
      <w:r>
        <w:rPr>
          <w:rStyle w:val="FootnoteReference"/>
          <w:spacing w:val="-2"/>
          <w:szCs w:val="22"/>
        </w:rPr>
        <w:footnoteReference w:id="212"/>
      </w:r>
      <w:r w:rsidRPr="007521D5">
        <w:rPr>
          <w:spacing w:val="-2"/>
          <w:szCs w:val="22"/>
        </w:rPr>
        <w:t xml:space="preserve"> </w:t>
      </w:r>
    </w:p>
    <w:p w:rsidR="007159E0" w:rsidRDefault="007159E0" w:rsidP="007159E0"/>
    <w:p w:rsidR="003B5035" w:rsidRPr="007521D5" w:rsidRDefault="003B5035" w:rsidP="007159E0">
      <w:pPr>
        <w:tabs>
          <w:tab w:val="left" w:pos="1440"/>
        </w:tabs>
        <w:suppressAutoHyphens/>
        <w:spacing w:line="240" w:lineRule="atLeast"/>
        <w:ind w:firstLine="720"/>
        <w:rPr>
          <w:spacing w:val="-2"/>
          <w:szCs w:val="22"/>
        </w:rPr>
      </w:pPr>
    </w:p>
    <w:p w:rsidR="003B5035" w:rsidRPr="007521D5" w:rsidRDefault="003B5035" w:rsidP="003B5035">
      <w:pPr>
        <w:tabs>
          <w:tab w:val="left" w:pos="1440"/>
        </w:tabs>
        <w:suppressAutoHyphens/>
        <w:spacing w:line="240" w:lineRule="atLeast"/>
        <w:ind w:firstLine="720"/>
        <w:jc w:val="center"/>
        <w:rPr>
          <w:spacing w:val="-2"/>
          <w:szCs w:val="22"/>
        </w:rPr>
      </w:pPr>
    </w:p>
    <w:p w:rsidR="003B5035" w:rsidRPr="00100F78" w:rsidRDefault="003B5035" w:rsidP="003B5035">
      <w:pPr>
        <w:tabs>
          <w:tab w:val="left" w:pos="1440"/>
        </w:tabs>
        <w:suppressAutoHyphens/>
        <w:spacing w:line="240" w:lineRule="atLeast"/>
        <w:ind w:firstLine="720"/>
        <w:rPr>
          <w:b/>
          <w:spacing w:val="-2"/>
          <w:szCs w:val="22"/>
        </w:rPr>
      </w:pPr>
      <w:r w:rsidRPr="00100F78">
        <w:rPr>
          <w:b/>
          <w:spacing w:val="-2"/>
          <w:szCs w:val="22"/>
        </w:rPr>
        <w:t>III.</w:t>
      </w:r>
      <w:r w:rsidRPr="00100F78">
        <w:rPr>
          <w:b/>
          <w:spacing w:val="-2"/>
          <w:szCs w:val="22"/>
        </w:rPr>
        <w:tab/>
        <w:t>Description and Estimate of the Number of Small Entities to Which the Rules Will Apply:</w:t>
      </w:r>
    </w:p>
    <w:p w:rsidR="003B5035" w:rsidRPr="007521D5" w:rsidRDefault="003B5035" w:rsidP="003B5035">
      <w:pPr>
        <w:tabs>
          <w:tab w:val="left" w:pos="1440"/>
        </w:tabs>
        <w:suppressAutoHyphens/>
        <w:spacing w:line="240" w:lineRule="atLeast"/>
        <w:ind w:firstLine="720"/>
        <w:jc w:val="center"/>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4</w:t>
      </w:r>
      <w:r w:rsidR="003B5035" w:rsidRPr="007521D5">
        <w:rPr>
          <w:spacing w:val="-2"/>
          <w:szCs w:val="22"/>
        </w:rPr>
        <w:t>.</w:t>
      </w:r>
      <w:r w:rsidR="003B5035" w:rsidRPr="007521D5">
        <w:rPr>
          <w:spacing w:val="-2"/>
          <w:szCs w:val="22"/>
        </w:rPr>
        <w:tab/>
        <w:t>The RFA directs agencies to provide a description of, and where feasible, an estimate of the number of small entities that may be affected by the proposed rules and policies, if adopted.</w:t>
      </w:r>
      <w:r w:rsidR="003B5035">
        <w:rPr>
          <w:rStyle w:val="FootnoteReference"/>
          <w:spacing w:val="-2"/>
          <w:szCs w:val="22"/>
        </w:rPr>
        <w:footnoteReference w:id="213"/>
      </w:r>
      <w:r w:rsidR="003B5035">
        <w:rPr>
          <w:spacing w:val="-2"/>
          <w:szCs w:val="22"/>
        </w:rPr>
        <w:t xml:space="preserve">  </w:t>
      </w:r>
      <w:r w:rsidR="003B5035" w:rsidRPr="007521D5">
        <w:rPr>
          <w:spacing w:val="-2"/>
          <w:szCs w:val="22"/>
        </w:rPr>
        <w:t xml:space="preserve">The RFA </w:t>
      </w:r>
      <w:r w:rsidR="003B5035" w:rsidRPr="007521D5">
        <w:rPr>
          <w:spacing w:val="-2"/>
          <w:szCs w:val="22"/>
        </w:rPr>
        <w:lastRenderedPageBreak/>
        <w:t>generally defines the term “small entity” as having the same meaning as the terms “small business,” “small organization,” and “small governmental jurisdiction.”</w:t>
      </w:r>
      <w:r w:rsidR="003B5035">
        <w:rPr>
          <w:rStyle w:val="FootnoteReference"/>
          <w:spacing w:val="-2"/>
          <w:szCs w:val="22"/>
        </w:rPr>
        <w:footnoteReference w:id="214"/>
      </w:r>
      <w:r w:rsidR="003B5035">
        <w:rPr>
          <w:spacing w:val="-2"/>
          <w:szCs w:val="22"/>
        </w:rPr>
        <w:t xml:space="preserve"> </w:t>
      </w:r>
      <w:r w:rsidR="003B5035" w:rsidRPr="007521D5">
        <w:rPr>
          <w:spacing w:val="-2"/>
          <w:szCs w:val="22"/>
        </w:rPr>
        <w:t xml:space="preserve"> In addition, the term “small business” has the same meaning as the term “small business concern” under the Small Business Act.</w:t>
      </w:r>
      <w:r w:rsidR="003B5035">
        <w:rPr>
          <w:rStyle w:val="FootnoteReference"/>
          <w:spacing w:val="-2"/>
          <w:szCs w:val="22"/>
        </w:rPr>
        <w:footnoteReference w:id="215"/>
      </w:r>
      <w:r w:rsidR="003B5035" w:rsidRPr="007521D5">
        <w:rPr>
          <w:spacing w:val="-2"/>
          <w:szCs w:val="22"/>
        </w:rPr>
        <w:t xml:space="preserve">  A “small business concern” is one which: (1) is independently owned and operated; (2) is not dominant in its field of operation; and (3) satisfies any additional criteria established by the SBA.</w:t>
      </w:r>
      <w:r w:rsidR="003B5035">
        <w:rPr>
          <w:rStyle w:val="FootnoteReference"/>
          <w:spacing w:val="-2"/>
          <w:szCs w:val="22"/>
        </w:rPr>
        <w:footnoteReference w:id="216"/>
      </w:r>
      <w:r w:rsidR="003B5035" w:rsidRPr="007521D5">
        <w:rPr>
          <w:spacing w:val="-2"/>
          <w:szCs w:val="22"/>
        </w:rPr>
        <w:t xml:space="preserve"> </w:t>
      </w:r>
    </w:p>
    <w:p w:rsidR="003B5035" w:rsidRPr="007521D5" w:rsidRDefault="003B5035" w:rsidP="003B5035">
      <w:pPr>
        <w:tabs>
          <w:tab w:val="left" w:pos="1440"/>
        </w:tabs>
        <w:suppressAutoHyphens/>
        <w:spacing w:line="240" w:lineRule="atLeast"/>
        <w:ind w:firstLine="720"/>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5</w:t>
      </w:r>
      <w:r w:rsidR="003B5035" w:rsidRPr="007521D5">
        <w:rPr>
          <w:spacing w:val="-2"/>
          <w:szCs w:val="22"/>
        </w:rPr>
        <w:t>.</w:t>
      </w:r>
      <w:r w:rsidR="003B5035" w:rsidRPr="007521D5">
        <w:rPr>
          <w:spacing w:val="-2"/>
          <w:szCs w:val="22"/>
        </w:rPr>
        <w:tab/>
      </w:r>
      <w:r w:rsidR="003B5035" w:rsidRPr="000272C1">
        <w:rPr>
          <w:b/>
          <w:spacing w:val="-2"/>
          <w:szCs w:val="22"/>
        </w:rPr>
        <w:t>Small Businesses.</w:t>
      </w:r>
      <w:r w:rsidR="003B5035" w:rsidRPr="007521D5">
        <w:rPr>
          <w:spacing w:val="-2"/>
          <w:szCs w:val="22"/>
        </w:rPr>
        <w:t xml:space="preserve">   Nationwide, there are a total of approximately 2</w:t>
      </w:r>
      <w:r w:rsidR="003B5035">
        <w:rPr>
          <w:spacing w:val="-2"/>
          <w:szCs w:val="22"/>
        </w:rPr>
        <w:t>7.9</w:t>
      </w:r>
      <w:r w:rsidR="003B5035" w:rsidRPr="007521D5">
        <w:rPr>
          <w:spacing w:val="-2"/>
          <w:szCs w:val="22"/>
        </w:rPr>
        <w:t xml:space="preserve"> million small businesses, according to the SBA.</w:t>
      </w:r>
      <w:r w:rsidR="003B5035">
        <w:rPr>
          <w:rStyle w:val="FootnoteReference"/>
          <w:spacing w:val="-2"/>
          <w:szCs w:val="22"/>
        </w:rPr>
        <w:footnoteReference w:id="217"/>
      </w:r>
      <w:r w:rsidR="003B5035" w:rsidRPr="007521D5">
        <w:rPr>
          <w:spacing w:val="-2"/>
          <w:szCs w:val="22"/>
        </w:rPr>
        <w:t xml:space="preserve">   </w:t>
      </w:r>
    </w:p>
    <w:p w:rsidR="003B5035" w:rsidRPr="007521D5" w:rsidRDefault="003B5035" w:rsidP="003B5035">
      <w:pPr>
        <w:tabs>
          <w:tab w:val="left" w:pos="1440"/>
        </w:tabs>
        <w:suppressAutoHyphens/>
        <w:spacing w:line="240" w:lineRule="atLeast"/>
        <w:ind w:firstLine="720"/>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6</w:t>
      </w:r>
      <w:r w:rsidR="003B5035" w:rsidRPr="007521D5">
        <w:rPr>
          <w:spacing w:val="-2"/>
          <w:szCs w:val="22"/>
        </w:rPr>
        <w:t>.</w:t>
      </w:r>
      <w:r w:rsidR="003B5035" w:rsidRPr="007521D5">
        <w:rPr>
          <w:spacing w:val="-2"/>
          <w:szCs w:val="22"/>
        </w:rPr>
        <w:tab/>
      </w:r>
      <w:r w:rsidR="003B5035" w:rsidRPr="000942B2">
        <w:rPr>
          <w:b/>
          <w:spacing w:val="-2"/>
          <w:szCs w:val="22"/>
        </w:rPr>
        <w:t>Wired Telecommunications Carriers</w:t>
      </w:r>
      <w:r w:rsidR="003B5035" w:rsidRPr="000942B2">
        <w:rPr>
          <w:spacing w:val="-2"/>
          <w:szCs w:val="22"/>
        </w:rPr>
        <w:t>. The SBA has developed a small business size</w:t>
      </w:r>
      <w:r w:rsidR="003B5035">
        <w:rPr>
          <w:spacing w:val="-2"/>
          <w:szCs w:val="22"/>
        </w:rPr>
        <w:t xml:space="preserve"> </w:t>
      </w:r>
      <w:r w:rsidR="003B5035" w:rsidRPr="000942B2">
        <w:rPr>
          <w:spacing w:val="-2"/>
          <w:szCs w:val="22"/>
        </w:rPr>
        <w:t>standard for Wired Telecommunications Carriers, which consists of all such companies having 1,500 or</w:t>
      </w:r>
      <w:r w:rsidR="003B5035">
        <w:rPr>
          <w:spacing w:val="-2"/>
          <w:szCs w:val="22"/>
        </w:rPr>
        <w:t xml:space="preserve"> </w:t>
      </w:r>
      <w:r w:rsidR="003B5035" w:rsidRPr="000942B2">
        <w:rPr>
          <w:spacing w:val="-2"/>
          <w:szCs w:val="22"/>
        </w:rPr>
        <w:t>fewer employees</w:t>
      </w:r>
      <w:r w:rsidR="003B5035">
        <w:rPr>
          <w:spacing w:val="-2"/>
          <w:szCs w:val="22"/>
        </w:rPr>
        <w:t xml:space="preserve">. </w:t>
      </w:r>
      <w:r w:rsidR="003B5035" w:rsidRPr="000942B2">
        <w:rPr>
          <w:spacing w:val="-2"/>
          <w:szCs w:val="22"/>
        </w:rPr>
        <w:t xml:space="preserve"> Census data for 2007 shows that there were 31,996 establishments that operated that</w:t>
      </w:r>
      <w:r w:rsidR="003B5035">
        <w:rPr>
          <w:spacing w:val="-2"/>
          <w:szCs w:val="22"/>
        </w:rPr>
        <w:t xml:space="preserve"> </w:t>
      </w:r>
      <w:r w:rsidR="003B5035" w:rsidRPr="000942B2">
        <w:rPr>
          <w:spacing w:val="-2"/>
          <w:szCs w:val="22"/>
        </w:rPr>
        <w:t xml:space="preserve">year. </w:t>
      </w:r>
      <w:r w:rsidR="003B5035">
        <w:rPr>
          <w:spacing w:val="-2"/>
          <w:szCs w:val="22"/>
        </w:rPr>
        <w:t xml:space="preserve"> </w:t>
      </w:r>
      <w:r w:rsidR="003B5035" w:rsidRPr="000942B2">
        <w:rPr>
          <w:spacing w:val="-2"/>
          <w:szCs w:val="22"/>
        </w:rPr>
        <w:t xml:space="preserve">Of </w:t>
      </w:r>
      <w:r w:rsidR="003B5035">
        <w:rPr>
          <w:spacing w:val="-2"/>
          <w:szCs w:val="22"/>
        </w:rPr>
        <w:t>this total</w:t>
      </w:r>
      <w:r w:rsidR="003B5035" w:rsidRPr="000942B2">
        <w:rPr>
          <w:spacing w:val="-2"/>
          <w:szCs w:val="22"/>
        </w:rPr>
        <w:t>, 1,818 operated with more than 100 employees, and 30,178 operated with fewer</w:t>
      </w:r>
      <w:r w:rsidR="003B5035">
        <w:rPr>
          <w:spacing w:val="-2"/>
          <w:szCs w:val="22"/>
        </w:rPr>
        <w:t xml:space="preserve"> </w:t>
      </w:r>
      <w:r w:rsidR="003B5035" w:rsidRPr="000942B2">
        <w:rPr>
          <w:spacing w:val="-2"/>
          <w:szCs w:val="22"/>
        </w:rPr>
        <w:t>than 100 employees.</w:t>
      </w:r>
      <w:r w:rsidR="003B5035">
        <w:rPr>
          <w:rStyle w:val="FootnoteReference"/>
          <w:spacing w:val="-2"/>
          <w:szCs w:val="22"/>
        </w:rPr>
        <w:footnoteReference w:id="218"/>
      </w:r>
      <w:r w:rsidR="003B5035" w:rsidRPr="000942B2">
        <w:rPr>
          <w:spacing w:val="-2"/>
          <w:szCs w:val="22"/>
        </w:rPr>
        <w:t xml:space="preserve">  Thus, under this size standard, the majority of firms can be considered small.</w:t>
      </w:r>
    </w:p>
    <w:p w:rsidR="003B5035" w:rsidRDefault="003B5035" w:rsidP="003B5035">
      <w:pPr>
        <w:tabs>
          <w:tab w:val="left" w:pos="1440"/>
        </w:tabs>
        <w:suppressAutoHyphens/>
        <w:spacing w:line="240" w:lineRule="atLeast"/>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7</w:t>
      </w:r>
      <w:r w:rsidR="003B5035">
        <w:rPr>
          <w:spacing w:val="-2"/>
          <w:szCs w:val="22"/>
        </w:rPr>
        <w:t>.</w:t>
      </w:r>
      <w:r w:rsidR="003B5035">
        <w:rPr>
          <w:spacing w:val="-2"/>
          <w:szCs w:val="22"/>
        </w:rPr>
        <w:tab/>
      </w:r>
      <w:r w:rsidR="003B5035" w:rsidRPr="00703D26">
        <w:rPr>
          <w:b/>
          <w:spacing w:val="-2"/>
          <w:szCs w:val="22"/>
        </w:rPr>
        <w:t>Local Exchange Carriers (LECs)</w:t>
      </w:r>
      <w:r w:rsidR="003B5035" w:rsidRPr="00AE4963">
        <w:rPr>
          <w:spacing w:val="-2"/>
          <w:szCs w:val="22"/>
        </w:rPr>
        <w:t xml:space="preserve">. </w:t>
      </w:r>
      <w:r w:rsidR="003B5035">
        <w:rPr>
          <w:spacing w:val="-2"/>
          <w:szCs w:val="22"/>
        </w:rPr>
        <w:t xml:space="preserve"> </w:t>
      </w:r>
      <w:r w:rsidR="003B5035" w:rsidRPr="00AE4963">
        <w:rPr>
          <w:spacing w:val="-2"/>
          <w:szCs w:val="22"/>
        </w:rPr>
        <w:t>Neither the Commission nor the SBA has developed</w:t>
      </w:r>
      <w:r w:rsidR="003B5035">
        <w:rPr>
          <w:spacing w:val="-2"/>
          <w:szCs w:val="22"/>
        </w:rPr>
        <w:t xml:space="preserve"> </w:t>
      </w:r>
      <w:r w:rsidR="003B5035" w:rsidRPr="00AE4963">
        <w:rPr>
          <w:spacing w:val="-2"/>
          <w:szCs w:val="22"/>
        </w:rPr>
        <w:t xml:space="preserve">a size standard for small businesses specifically applicable to local exchange services. </w:t>
      </w:r>
      <w:r w:rsidR="003B5035">
        <w:rPr>
          <w:spacing w:val="-2"/>
          <w:szCs w:val="22"/>
        </w:rPr>
        <w:t xml:space="preserve"> </w:t>
      </w:r>
      <w:r w:rsidR="003B5035" w:rsidRPr="00AE4963">
        <w:rPr>
          <w:spacing w:val="-2"/>
          <w:szCs w:val="22"/>
        </w:rPr>
        <w:t>The closest</w:t>
      </w:r>
      <w:r w:rsidR="003B5035">
        <w:rPr>
          <w:spacing w:val="-2"/>
          <w:szCs w:val="22"/>
        </w:rPr>
        <w:t xml:space="preserve"> </w:t>
      </w:r>
      <w:r w:rsidR="003B5035" w:rsidRPr="00AE4963">
        <w:rPr>
          <w:spacing w:val="-2"/>
          <w:szCs w:val="22"/>
        </w:rPr>
        <w:t xml:space="preserve">applicable size standard under SBA rules is for Wired Telecommunications Carriers. </w:t>
      </w:r>
      <w:r w:rsidR="003B5035">
        <w:rPr>
          <w:spacing w:val="-2"/>
          <w:szCs w:val="22"/>
        </w:rPr>
        <w:t xml:space="preserve"> </w:t>
      </w:r>
      <w:r w:rsidR="003B5035" w:rsidRPr="00AE4963">
        <w:rPr>
          <w:spacing w:val="-2"/>
          <w:szCs w:val="22"/>
        </w:rPr>
        <w:t>Under that size</w:t>
      </w:r>
      <w:r w:rsidR="003B5035">
        <w:rPr>
          <w:spacing w:val="-2"/>
          <w:szCs w:val="22"/>
        </w:rPr>
        <w:t xml:space="preserve"> </w:t>
      </w:r>
      <w:r w:rsidR="003B5035" w:rsidRPr="00AE4963">
        <w:rPr>
          <w:spacing w:val="-2"/>
          <w:szCs w:val="22"/>
        </w:rPr>
        <w:t xml:space="preserve">standard, such a business is small if it </w:t>
      </w:r>
      <w:r w:rsidR="003B5035">
        <w:rPr>
          <w:spacing w:val="-2"/>
          <w:szCs w:val="22"/>
        </w:rPr>
        <w:t>has 1,500 or fewer employees.</w:t>
      </w:r>
      <w:r w:rsidR="003B5035">
        <w:rPr>
          <w:rStyle w:val="FootnoteReference"/>
          <w:spacing w:val="-2"/>
          <w:szCs w:val="22"/>
        </w:rPr>
        <w:footnoteReference w:id="219"/>
      </w:r>
      <w:r w:rsidR="003B5035">
        <w:rPr>
          <w:spacing w:val="-2"/>
          <w:szCs w:val="22"/>
        </w:rPr>
        <w:t xml:space="preserve">  </w:t>
      </w:r>
      <w:r w:rsidR="003B5035" w:rsidRPr="00AE4963">
        <w:rPr>
          <w:spacing w:val="-2"/>
          <w:szCs w:val="22"/>
        </w:rPr>
        <w:t>According to Commission data,</w:t>
      </w:r>
      <w:r w:rsidR="003B5035">
        <w:rPr>
          <w:spacing w:val="-2"/>
          <w:szCs w:val="22"/>
        </w:rPr>
        <w:t xml:space="preserve"> c</w:t>
      </w:r>
      <w:r w:rsidR="003B5035" w:rsidRPr="00AE4963">
        <w:rPr>
          <w:spacing w:val="-2"/>
          <w:szCs w:val="22"/>
        </w:rPr>
        <w:t xml:space="preserve">ensus data for 2007 shows that there were 31,996 establishments that operated that year. Of </w:t>
      </w:r>
      <w:r w:rsidR="003B5035">
        <w:rPr>
          <w:spacing w:val="-2"/>
          <w:szCs w:val="22"/>
        </w:rPr>
        <w:t>this total</w:t>
      </w:r>
      <w:r w:rsidR="003B5035" w:rsidRPr="00AE4963">
        <w:rPr>
          <w:spacing w:val="-2"/>
          <w:szCs w:val="22"/>
        </w:rPr>
        <w:t>, 1,818 operated with more than 100 employees, and 30,178 operated with fewer than 100</w:t>
      </w:r>
      <w:r w:rsidR="003B5035">
        <w:rPr>
          <w:spacing w:val="-2"/>
          <w:szCs w:val="22"/>
        </w:rPr>
        <w:t xml:space="preserve"> employees.</w:t>
      </w:r>
      <w:r w:rsidR="003B5035">
        <w:rPr>
          <w:rStyle w:val="FootnoteReference"/>
          <w:spacing w:val="-2"/>
          <w:szCs w:val="22"/>
        </w:rPr>
        <w:footnoteReference w:id="220"/>
      </w:r>
      <w:r w:rsidR="003B5035">
        <w:rPr>
          <w:spacing w:val="-2"/>
          <w:szCs w:val="22"/>
        </w:rPr>
        <w:t xml:space="preserve">  T</w:t>
      </w:r>
      <w:r w:rsidR="003B5035" w:rsidRPr="00AE4963">
        <w:rPr>
          <w:spacing w:val="-2"/>
          <w:szCs w:val="22"/>
        </w:rPr>
        <w:t>he Commission estimates that most providers of local exchange service are</w:t>
      </w:r>
      <w:r w:rsidR="003B5035">
        <w:rPr>
          <w:spacing w:val="-2"/>
          <w:szCs w:val="22"/>
        </w:rPr>
        <w:t xml:space="preserve"> </w:t>
      </w:r>
      <w:r w:rsidR="003B5035" w:rsidRPr="00AE4963">
        <w:rPr>
          <w:spacing w:val="-2"/>
          <w:szCs w:val="22"/>
        </w:rPr>
        <w:t xml:space="preserve">small entities that may be affected by the rules and policies proposed in the </w:t>
      </w:r>
      <w:r w:rsidR="003B5035" w:rsidRPr="00432E28">
        <w:rPr>
          <w:i/>
          <w:spacing w:val="-2"/>
          <w:szCs w:val="22"/>
        </w:rPr>
        <w:t>FNPRM</w:t>
      </w:r>
      <w:r w:rsidR="003B5035">
        <w:rPr>
          <w:spacing w:val="-2"/>
          <w:szCs w:val="22"/>
        </w:rPr>
        <w:t>.</w:t>
      </w:r>
    </w:p>
    <w:p w:rsidR="003B5035" w:rsidRPr="007521D5" w:rsidRDefault="003B5035" w:rsidP="003B5035">
      <w:pPr>
        <w:tabs>
          <w:tab w:val="left" w:pos="1440"/>
        </w:tabs>
        <w:suppressAutoHyphens/>
        <w:spacing w:line="240" w:lineRule="atLeast"/>
        <w:ind w:firstLine="720"/>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8</w:t>
      </w:r>
      <w:r w:rsidR="003B5035" w:rsidRPr="007521D5">
        <w:rPr>
          <w:spacing w:val="-2"/>
          <w:szCs w:val="22"/>
        </w:rPr>
        <w:t>.</w:t>
      </w:r>
      <w:r w:rsidR="003B5035" w:rsidRPr="007521D5">
        <w:rPr>
          <w:spacing w:val="-2"/>
          <w:szCs w:val="22"/>
        </w:rPr>
        <w:tab/>
      </w:r>
      <w:r w:rsidR="003B5035" w:rsidRPr="00DD099F">
        <w:rPr>
          <w:b/>
          <w:spacing w:val="-2"/>
          <w:szCs w:val="22"/>
        </w:rPr>
        <w:t>Incumbent</w:t>
      </w:r>
      <w:r w:rsidR="003B5035">
        <w:rPr>
          <w:b/>
          <w:spacing w:val="-2"/>
          <w:szCs w:val="22"/>
        </w:rPr>
        <w:t xml:space="preserve"> LECs.</w:t>
      </w:r>
      <w:r w:rsidR="003B5035" w:rsidRPr="007521D5">
        <w:rPr>
          <w:spacing w:val="-2"/>
          <w:szCs w:val="22"/>
        </w:rPr>
        <w:t xml:space="preserve">  Neither the Commission nor the SBA has developed a small business size standard specifically for incumbent local exchange services.  The </w:t>
      </w:r>
      <w:r w:rsidR="003B5035">
        <w:rPr>
          <w:spacing w:val="-2"/>
          <w:szCs w:val="22"/>
        </w:rPr>
        <w:t xml:space="preserve">closest applicable </w:t>
      </w:r>
      <w:r w:rsidR="003B5035" w:rsidRPr="007521D5">
        <w:rPr>
          <w:spacing w:val="-2"/>
          <w:szCs w:val="22"/>
        </w:rPr>
        <w:t>size standard under SBA rules is for the category Wired Telecommunications Carriers.  Under that size standard, such a business is small if it has 1,500 or fewer employees.</w:t>
      </w:r>
      <w:r w:rsidR="003B5035">
        <w:rPr>
          <w:rStyle w:val="FootnoteReference"/>
          <w:spacing w:val="-2"/>
          <w:szCs w:val="22"/>
        </w:rPr>
        <w:footnoteReference w:id="221"/>
      </w:r>
      <w:r w:rsidR="003B5035">
        <w:rPr>
          <w:spacing w:val="-2"/>
          <w:szCs w:val="22"/>
        </w:rPr>
        <w:t xml:space="preserve">  </w:t>
      </w:r>
      <w:r w:rsidR="003B5035" w:rsidRPr="007521D5">
        <w:rPr>
          <w:spacing w:val="-2"/>
          <w:szCs w:val="22"/>
        </w:rPr>
        <w:t>According to Commission data, 1,307 carriers reported that they were incumbent local exchange service providers.</w:t>
      </w:r>
      <w:r w:rsidR="003B5035">
        <w:rPr>
          <w:rStyle w:val="FootnoteReference"/>
          <w:spacing w:val="-2"/>
          <w:szCs w:val="22"/>
        </w:rPr>
        <w:footnoteReference w:id="222"/>
      </w:r>
      <w:r w:rsidR="003B5035">
        <w:rPr>
          <w:spacing w:val="-2"/>
          <w:szCs w:val="22"/>
        </w:rPr>
        <w:t xml:space="preserve">  </w:t>
      </w:r>
      <w:r w:rsidR="003B5035" w:rsidRPr="007521D5">
        <w:rPr>
          <w:spacing w:val="-2"/>
          <w:szCs w:val="22"/>
        </w:rPr>
        <w:t xml:space="preserve">Of </w:t>
      </w:r>
      <w:r w:rsidR="003B5035">
        <w:rPr>
          <w:spacing w:val="-2"/>
          <w:szCs w:val="22"/>
        </w:rPr>
        <w:t>this total</w:t>
      </w:r>
      <w:r w:rsidR="003B5035" w:rsidRPr="007521D5">
        <w:rPr>
          <w:spacing w:val="-2"/>
          <w:szCs w:val="22"/>
        </w:rPr>
        <w:t>, an estimated 1,006 have 1,500 or fewer employees and 301 have more than 1,500 employees.</w:t>
      </w:r>
      <w:r w:rsidR="003B5035">
        <w:rPr>
          <w:rStyle w:val="FootnoteReference"/>
          <w:spacing w:val="-2"/>
          <w:szCs w:val="22"/>
        </w:rPr>
        <w:footnoteReference w:id="223"/>
      </w:r>
      <w:r w:rsidR="003B5035" w:rsidRPr="007521D5">
        <w:rPr>
          <w:spacing w:val="-2"/>
          <w:szCs w:val="22"/>
        </w:rPr>
        <w:t xml:space="preserve">   Consequently, the Commission </w:t>
      </w:r>
      <w:r w:rsidR="003B5035" w:rsidRPr="007521D5">
        <w:rPr>
          <w:spacing w:val="-2"/>
          <w:szCs w:val="22"/>
        </w:rPr>
        <w:lastRenderedPageBreak/>
        <w:t xml:space="preserve">estimates that most providers of </w:t>
      </w:r>
      <w:r w:rsidR="003B5035">
        <w:rPr>
          <w:spacing w:val="-2"/>
          <w:szCs w:val="22"/>
        </w:rPr>
        <w:t xml:space="preserve">incumbent </w:t>
      </w:r>
      <w:r w:rsidR="003B5035" w:rsidRPr="007521D5">
        <w:rPr>
          <w:spacing w:val="-2"/>
          <w:szCs w:val="22"/>
        </w:rPr>
        <w:t xml:space="preserve">local exchange service are small </w:t>
      </w:r>
      <w:r w:rsidR="003B5035">
        <w:rPr>
          <w:spacing w:val="-2"/>
          <w:szCs w:val="22"/>
        </w:rPr>
        <w:t>businesses</w:t>
      </w:r>
      <w:r w:rsidR="003B5035" w:rsidRPr="007521D5">
        <w:rPr>
          <w:spacing w:val="-2"/>
          <w:szCs w:val="22"/>
        </w:rPr>
        <w:t xml:space="preserve"> that may be affected by the rules a</w:t>
      </w:r>
      <w:r w:rsidR="003B5035">
        <w:rPr>
          <w:spacing w:val="-2"/>
          <w:szCs w:val="22"/>
        </w:rPr>
        <w:t xml:space="preserve">nd policies proposed in the </w:t>
      </w:r>
      <w:r w:rsidR="003B5035" w:rsidRPr="00432E28">
        <w:rPr>
          <w:i/>
          <w:spacing w:val="-2"/>
          <w:szCs w:val="22"/>
        </w:rPr>
        <w:t>FNPRM</w:t>
      </w:r>
      <w:r w:rsidR="003B5035" w:rsidRPr="007521D5">
        <w:rPr>
          <w:spacing w:val="-2"/>
          <w:szCs w:val="22"/>
        </w:rPr>
        <w:t xml:space="preserve">.    </w:t>
      </w:r>
    </w:p>
    <w:p w:rsidR="003B5035" w:rsidRPr="007521D5" w:rsidRDefault="003B5035" w:rsidP="003B5035">
      <w:pPr>
        <w:tabs>
          <w:tab w:val="left" w:pos="1440"/>
        </w:tabs>
        <w:suppressAutoHyphens/>
        <w:spacing w:line="240" w:lineRule="atLeast"/>
        <w:ind w:firstLine="720"/>
        <w:rPr>
          <w:spacing w:val="-2"/>
          <w:szCs w:val="22"/>
        </w:rPr>
      </w:pPr>
    </w:p>
    <w:p w:rsidR="003B5035" w:rsidRDefault="00DB75FC" w:rsidP="003B5035">
      <w:pPr>
        <w:tabs>
          <w:tab w:val="left" w:pos="1440"/>
        </w:tabs>
        <w:suppressAutoHyphens/>
        <w:spacing w:line="240" w:lineRule="atLeast"/>
        <w:ind w:firstLine="720"/>
        <w:rPr>
          <w:spacing w:val="-2"/>
          <w:szCs w:val="22"/>
        </w:rPr>
      </w:pPr>
      <w:r>
        <w:rPr>
          <w:spacing w:val="-2"/>
          <w:szCs w:val="22"/>
        </w:rPr>
        <w:t>9</w:t>
      </w:r>
      <w:r w:rsidR="003B5035" w:rsidRPr="007521D5">
        <w:rPr>
          <w:spacing w:val="-2"/>
          <w:szCs w:val="22"/>
        </w:rPr>
        <w:t>.</w:t>
      </w:r>
      <w:r w:rsidR="003B5035" w:rsidRPr="007521D5">
        <w:rPr>
          <w:spacing w:val="-2"/>
          <w:szCs w:val="22"/>
        </w:rPr>
        <w:tab/>
      </w:r>
      <w:r w:rsidR="003B5035" w:rsidRPr="00EB0B7B">
        <w:rPr>
          <w:b/>
          <w:spacing w:val="-2"/>
          <w:szCs w:val="22"/>
        </w:rPr>
        <w:t>Competitive Local Exchange Carriers (Competitive LECs), Competitive Access Providers (CAPs), Shared-Tenant Service Providers, and Other Local Service Providers.</w:t>
      </w:r>
      <w:r w:rsidR="003B5035" w:rsidRPr="007521D5">
        <w:rPr>
          <w:spacing w:val="-2"/>
          <w:szCs w:val="22"/>
        </w:rPr>
        <w:t xml:space="preserve">  Neither the Commission nor the SBA has developed a small business size standard specifically for these service providers.  The appropriate size standard under SBA rules is for the category Wired Telecommunications Carriers.  Under that size standard, such a business is small if it has 1,500 or fewer employees.</w:t>
      </w:r>
      <w:r w:rsidR="003B5035">
        <w:rPr>
          <w:rStyle w:val="FootnoteReference"/>
          <w:spacing w:val="-2"/>
          <w:szCs w:val="22"/>
        </w:rPr>
        <w:footnoteReference w:id="224"/>
      </w:r>
      <w:r w:rsidR="003B5035" w:rsidRPr="007521D5">
        <w:rPr>
          <w:spacing w:val="-2"/>
          <w:szCs w:val="22"/>
        </w:rPr>
        <w:t xml:space="preserve">   According to Commission data, 1,442 carriers reported that they were engaged in the provision of either competitive local exchange services or competitive access provider services.</w:t>
      </w:r>
      <w:r w:rsidR="003B5035">
        <w:rPr>
          <w:rStyle w:val="FootnoteReference"/>
          <w:spacing w:val="-2"/>
          <w:szCs w:val="22"/>
        </w:rPr>
        <w:footnoteReference w:id="225"/>
      </w:r>
      <w:r w:rsidR="003B5035" w:rsidRPr="007521D5">
        <w:rPr>
          <w:spacing w:val="-2"/>
          <w:szCs w:val="22"/>
        </w:rPr>
        <w:t xml:space="preserve">   Of these 1,442 carriers, an estimated 1,256 have 1,500 or fewer employees and 186 have more than 1,500 employees.</w:t>
      </w:r>
      <w:r w:rsidR="003B5035">
        <w:rPr>
          <w:rStyle w:val="FootnoteReference"/>
          <w:spacing w:val="-2"/>
          <w:szCs w:val="22"/>
        </w:rPr>
        <w:footnoteReference w:id="226"/>
      </w:r>
      <w:r w:rsidR="003B5035" w:rsidRPr="007521D5">
        <w:rPr>
          <w:spacing w:val="-2"/>
          <w:szCs w:val="22"/>
        </w:rPr>
        <w:t xml:space="preserve">   In addition, 17 carriers have reported that they are Shared-Tenant Service Providers, and all 17 are estimated to have 1,500 or fewer employees.</w:t>
      </w:r>
      <w:r w:rsidR="003B5035">
        <w:rPr>
          <w:rStyle w:val="FootnoteReference"/>
          <w:spacing w:val="-2"/>
          <w:szCs w:val="22"/>
        </w:rPr>
        <w:footnoteReference w:id="227"/>
      </w:r>
      <w:r w:rsidR="003B5035" w:rsidRPr="007521D5">
        <w:rPr>
          <w:spacing w:val="-2"/>
          <w:szCs w:val="22"/>
        </w:rPr>
        <w:t xml:space="preserve">   In addition, 72 carriers have reported that they are Other Local Service Providers.</w:t>
      </w:r>
      <w:r w:rsidR="003B5035">
        <w:rPr>
          <w:rStyle w:val="FootnoteReference"/>
          <w:spacing w:val="-2"/>
          <w:szCs w:val="22"/>
        </w:rPr>
        <w:footnoteReference w:id="228"/>
      </w:r>
      <w:r w:rsidR="003B5035">
        <w:rPr>
          <w:spacing w:val="-2"/>
          <w:szCs w:val="22"/>
        </w:rPr>
        <w:t xml:space="preserve">   Of this total, 70</w:t>
      </w:r>
      <w:r w:rsidR="003B5035" w:rsidRPr="007521D5">
        <w:rPr>
          <w:spacing w:val="-2"/>
          <w:szCs w:val="22"/>
        </w:rPr>
        <w:t xml:space="preserve"> have 1,500 or fewer employees and two have more than 1,500 employees.</w:t>
      </w:r>
      <w:r w:rsidR="003B5035">
        <w:rPr>
          <w:rStyle w:val="FootnoteReference"/>
          <w:spacing w:val="-2"/>
          <w:szCs w:val="22"/>
        </w:rPr>
        <w:footnoteReference w:id="229"/>
      </w:r>
      <w:r w:rsidR="003B5035" w:rsidRPr="007521D5">
        <w:rPr>
          <w:spacing w:val="-2"/>
          <w:szCs w:val="22"/>
        </w:rPr>
        <w:t xml:space="preserve">   Consequently, the Commission estimates that most providers of competitive local exchange service, competitive access providers, Shared-Tenant Service Providers, and Other Local Service Providers are small entities that may be affected by ru</w:t>
      </w:r>
      <w:r w:rsidR="003B5035">
        <w:rPr>
          <w:spacing w:val="-2"/>
          <w:szCs w:val="22"/>
        </w:rPr>
        <w:t xml:space="preserve">les adopted pursuant to the proposals in this </w:t>
      </w:r>
      <w:r w:rsidR="003B5035" w:rsidRPr="00432E28">
        <w:rPr>
          <w:i/>
          <w:spacing w:val="-2"/>
          <w:szCs w:val="22"/>
        </w:rPr>
        <w:t>FNPRM</w:t>
      </w:r>
      <w:r w:rsidR="003B5035" w:rsidRPr="007521D5">
        <w:rPr>
          <w:spacing w:val="-2"/>
          <w:szCs w:val="22"/>
        </w:rPr>
        <w:t xml:space="preserve">. </w:t>
      </w:r>
    </w:p>
    <w:p w:rsidR="003B503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sidRPr="007521D5">
        <w:rPr>
          <w:spacing w:val="-2"/>
          <w:szCs w:val="22"/>
        </w:rPr>
        <w:t>1</w:t>
      </w:r>
      <w:r w:rsidR="00A93331">
        <w:rPr>
          <w:spacing w:val="-2"/>
          <w:szCs w:val="22"/>
        </w:rPr>
        <w:t>0</w:t>
      </w:r>
      <w:r w:rsidRPr="007521D5">
        <w:rPr>
          <w:spacing w:val="-2"/>
          <w:szCs w:val="22"/>
        </w:rPr>
        <w:t>.</w:t>
      </w:r>
      <w:r w:rsidRPr="007521D5">
        <w:rPr>
          <w:spacing w:val="-2"/>
          <w:szCs w:val="22"/>
        </w:rPr>
        <w:tab/>
      </w:r>
      <w:r w:rsidRPr="005B1923">
        <w:rPr>
          <w:b/>
          <w:spacing w:val="-2"/>
          <w:szCs w:val="22"/>
        </w:rPr>
        <w:t>Interexchange Carriers (IXCs)</w:t>
      </w:r>
      <w:r w:rsidRPr="007521D5">
        <w:rPr>
          <w:spacing w:val="-2"/>
          <w:szCs w:val="22"/>
        </w:rPr>
        <w:t xml:space="preserve">.  Neither the Commission nor the SBA has developed a small business size standard specifically </w:t>
      </w:r>
      <w:r>
        <w:rPr>
          <w:spacing w:val="-2"/>
          <w:szCs w:val="22"/>
        </w:rPr>
        <w:t xml:space="preserve">applicable to </w:t>
      </w:r>
      <w:r w:rsidRPr="007521D5">
        <w:rPr>
          <w:spacing w:val="-2"/>
          <w:szCs w:val="22"/>
        </w:rPr>
        <w:t xml:space="preserve">interexchange services.  The </w:t>
      </w:r>
      <w:r>
        <w:rPr>
          <w:spacing w:val="-2"/>
          <w:szCs w:val="22"/>
        </w:rPr>
        <w:t>applicable</w:t>
      </w:r>
      <w:r w:rsidRPr="007521D5">
        <w:rPr>
          <w:spacing w:val="-2"/>
          <w:szCs w:val="22"/>
        </w:rPr>
        <w:t xml:space="preserve"> size standard under SBA rules is for the Wired Telecommunications Carriers.  Under that size standard, such a business is small if it has 1,500 or fewer employees.</w:t>
      </w:r>
      <w:r>
        <w:rPr>
          <w:rStyle w:val="FootnoteReference"/>
          <w:spacing w:val="-2"/>
          <w:szCs w:val="22"/>
        </w:rPr>
        <w:footnoteReference w:id="230"/>
      </w:r>
      <w:r w:rsidRPr="007521D5">
        <w:rPr>
          <w:spacing w:val="-2"/>
          <w:szCs w:val="22"/>
        </w:rPr>
        <w:t xml:space="preserve">  According to Commission data, 359 companies reported that their primary telecommunications service activity was the provision of interexchange services.</w:t>
      </w:r>
      <w:r>
        <w:rPr>
          <w:rStyle w:val="FootnoteReference"/>
          <w:spacing w:val="-2"/>
          <w:szCs w:val="22"/>
        </w:rPr>
        <w:footnoteReference w:id="231"/>
      </w:r>
      <w:r w:rsidRPr="007521D5">
        <w:rPr>
          <w:spacing w:val="-2"/>
          <w:szCs w:val="22"/>
        </w:rPr>
        <w:t xml:space="preserve">   Of </w:t>
      </w:r>
      <w:r>
        <w:rPr>
          <w:spacing w:val="-2"/>
          <w:szCs w:val="22"/>
        </w:rPr>
        <w:t>this total</w:t>
      </w:r>
      <w:r w:rsidRPr="007521D5">
        <w:rPr>
          <w:spacing w:val="-2"/>
          <w:szCs w:val="22"/>
        </w:rPr>
        <w:t>, an estimated 317 have 1,500 or fewer employees and 42 have more than 1,500 employees.</w:t>
      </w:r>
      <w:r>
        <w:rPr>
          <w:rStyle w:val="FootnoteReference"/>
          <w:spacing w:val="-2"/>
          <w:szCs w:val="22"/>
        </w:rPr>
        <w:footnoteReference w:id="232"/>
      </w:r>
      <w:r w:rsidRPr="007521D5">
        <w:rPr>
          <w:spacing w:val="-2"/>
          <w:szCs w:val="22"/>
        </w:rPr>
        <w:t xml:space="preserve">   Consequently, the Commission estimates that the majority of interexchange service providers are small entities that may be affected by rules adopted pursuant to the </w:t>
      </w:r>
      <w:r w:rsidRPr="00432E28">
        <w:rPr>
          <w:i/>
          <w:spacing w:val="-2"/>
          <w:szCs w:val="22"/>
        </w:rPr>
        <w:t>FNPRM</w:t>
      </w:r>
      <w:r w:rsidRPr="007521D5">
        <w:rPr>
          <w:spacing w:val="-2"/>
          <w:szCs w:val="22"/>
        </w:rPr>
        <w:t>.</w:t>
      </w:r>
    </w:p>
    <w:p w:rsidR="003B503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Pr>
          <w:spacing w:val="-2"/>
          <w:szCs w:val="22"/>
        </w:rPr>
        <w:t>1</w:t>
      </w:r>
      <w:r w:rsidR="00A93331">
        <w:rPr>
          <w:spacing w:val="-2"/>
          <w:szCs w:val="22"/>
        </w:rPr>
        <w:t>1</w:t>
      </w:r>
      <w:r>
        <w:rPr>
          <w:spacing w:val="-2"/>
          <w:szCs w:val="22"/>
        </w:rPr>
        <w:t>.</w:t>
      </w:r>
      <w:r>
        <w:rPr>
          <w:spacing w:val="-2"/>
          <w:szCs w:val="22"/>
        </w:rPr>
        <w:tab/>
      </w:r>
      <w:r w:rsidRPr="00AC5A57">
        <w:rPr>
          <w:b/>
          <w:spacing w:val="-2"/>
          <w:szCs w:val="22"/>
        </w:rPr>
        <w:t>Prepaid Calling Card Providers.</w:t>
      </w:r>
      <w:r w:rsidRPr="00AC5A57">
        <w:rPr>
          <w:spacing w:val="-2"/>
          <w:szCs w:val="22"/>
        </w:rPr>
        <w:t xml:space="preserve">  Neither the Commission nor the SBA has developed a small business size standard specifically for prepaid calling card providers.  The appropriate size standard under SBA rules is for the category Telecommunications Resellers.  Under that size standard, such a business is small if it has 1,500 or fewer employees.</w:t>
      </w:r>
      <w:r>
        <w:rPr>
          <w:rStyle w:val="FootnoteReference"/>
          <w:spacing w:val="-2"/>
          <w:szCs w:val="22"/>
        </w:rPr>
        <w:footnoteReference w:id="233"/>
      </w:r>
      <w:r w:rsidRPr="00AC5A57">
        <w:rPr>
          <w:spacing w:val="-2"/>
          <w:szCs w:val="22"/>
        </w:rPr>
        <w:t xml:space="preserve">   Census data for 2007 show that 1,523 firms provided resale services during that year.  Of that number, 1,522 operated with fewer than 1000 employees and one operated with more than 1,000.</w:t>
      </w:r>
      <w:r>
        <w:rPr>
          <w:rStyle w:val="FootnoteReference"/>
          <w:spacing w:val="-2"/>
          <w:szCs w:val="22"/>
        </w:rPr>
        <w:footnoteReference w:id="234"/>
      </w:r>
      <w:r w:rsidRPr="00AC5A57">
        <w:rPr>
          <w:spacing w:val="-2"/>
          <w:szCs w:val="22"/>
        </w:rPr>
        <w:t xml:space="preserve">   Thus under this category and the associated small business size standard, the majority of these prepaid calling card providers can be considered small entities.  According to </w:t>
      </w:r>
      <w:r w:rsidRPr="00AC5A57">
        <w:rPr>
          <w:spacing w:val="-2"/>
          <w:szCs w:val="22"/>
        </w:rPr>
        <w:lastRenderedPageBreak/>
        <w:t>Commission data, 193 carriers have reported that they are engaged in the provision of prepaid calling cards.</w:t>
      </w:r>
      <w:r>
        <w:rPr>
          <w:rStyle w:val="FootnoteReference"/>
          <w:spacing w:val="-2"/>
          <w:szCs w:val="22"/>
        </w:rPr>
        <w:footnoteReference w:id="235"/>
      </w:r>
      <w:r w:rsidRPr="00AC5A57">
        <w:rPr>
          <w:spacing w:val="-2"/>
          <w:szCs w:val="22"/>
        </w:rPr>
        <w:t xml:space="preserve">   </w:t>
      </w:r>
      <w:r>
        <w:rPr>
          <w:spacing w:val="-2"/>
          <w:szCs w:val="22"/>
        </w:rPr>
        <w:t>A</w:t>
      </w:r>
      <w:r w:rsidRPr="00AC5A57">
        <w:rPr>
          <w:spacing w:val="-2"/>
          <w:szCs w:val="22"/>
        </w:rPr>
        <w:t>ll 193</w:t>
      </w:r>
      <w:r>
        <w:rPr>
          <w:spacing w:val="-2"/>
          <w:szCs w:val="22"/>
        </w:rPr>
        <w:t xml:space="preserve"> carriers</w:t>
      </w:r>
      <w:r w:rsidRPr="00AC5A57">
        <w:rPr>
          <w:spacing w:val="-2"/>
          <w:szCs w:val="22"/>
        </w:rPr>
        <w:t xml:space="preserve"> have 1,500 or fewer employees and none have more than 1,500 employees.</w:t>
      </w:r>
      <w:r>
        <w:rPr>
          <w:rStyle w:val="FootnoteReference"/>
          <w:spacing w:val="-2"/>
          <w:szCs w:val="22"/>
        </w:rPr>
        <w:footnoteReference w:id="236"/>
      </w:r>
      <w:r w:rsidRPr="00AC5A57">
        <w:rPr>
          <w:spacing w:val="-2"/>
          <w:szCs w:val="22"/>
        </w:rPr>
        <w:t xml:space="preserve">   Consequently, the Commission estimates that the majority of prepaid calling card providers are small entities that may be affected by rules adopted pursuant to the </w:t>
      </w:r>
      <w:r w:rsidRPr="00432E28">
        <w:rPr>
          <w:i/>
          <w:spacing w:val="-2"/>
          <w:szCs w:val="22"/>
        </w:rPr>
        <w:t>FNPRM</w:t>
      </w:r>
      <w:r w:rsidRPr="00AC5A57">
        <w:rPr>
          <w:spacing w:val="-2"/>
          <w:szCs w:val="22"/>
        </w:rPr>
        <w:t>.</w:t>
      </w:r>
    </w:p>
    <w:p w:rsidR="003B5035" w:rsidRPr="007521D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sidRPr="007521D5">
        <w:rPr>
          <w:spacing w:val="-2"/>
          <w:szCs w:val="22"/>
        </w:rPr>
        <w:t>1</w:t>
      </w:r>
      <w:r w:rsidR="00A93331">
        <w:rPr>
          <w:spacing w:val="-2"/>
          <w:szCs w:val="22"/>
        </w:rPr>
        <w:t>2</w:t>
      </w:r>
      <w:r w:rsidRPr="007521D5">
        <w:rPr>
          <w:spacing w:val="-2"/>
          <w:szCs w:val="22"/>
        </w:rPr>
        <w:t>.</w:t>
      </w:r>
      <w:r w:rsidRPr="007521D5">
        <w:rPr>
          <w:spacing w:val="-2"/>
          <w:szCs w:val="22"/>
        </w:rPr>
        <w:tab/>
      </w:r>
      <w:r w:rsidRPr="00CE14D5">
        <w:rPr>
          <w:b/>
          <w:spacing w:val="-2"/>
          <w:szCs w:val="22"/>
        </w:rPr>
        <w:t>Local Resellers</w:t>
      </w:r>
      <w:r w:rsidRPr="007521D5">
        <w:rPr>
          <w:spacing w:val="-2"/>
          <w:szCs w:val="22"/>
        </w:rPr>
        <w:t>.  The SBA has developed a small business size standard for the category of Telecommunications Resellers.  Under that size standard, such a business is small if it has 1,500 or fewer employees.</w:t>
      </w:r>
      <w:r>
        <w:rPr>
          <w:rStyle w:val="FootnoteReference"/>
          <w:spacing w:val="-2"/>
          <w:szCs w:val="22"/>
        </w:rPr>
        <w:footnoteReference w:id="237"/>
      </w:r>
      <w:r w:rsidRPr="007521D5">
        <w:rPr>
          <w:spacing w:val="-2"/>
          <w:szCs w:val="22"/>
        </w:rPr>
        <w:t xml:space="preserve">   Census data for 2007 show that 1,523 firms provided resale services during that year.  Of that number, 1,522 operated with fewer than 1000 employees and one operated with more than 1,000.</w:t>
      </w:r>
      <w:r>
        <w:rPr>
          <w:rStyle w:val="FootnoteReference"/>
          <w:spacing w:val="-2"/>
          <w:szCs w:val="22"/>
        </w:rPr>
        <w:footnoteReference w:id="238"/>
      </w:r>
      <w:r>
        <w:rPr>
          <w:spacing w:val="-2"/>
          <w:szCs w:val="22"/>
        </w:rPr>
        <w:t xml:space="preserve">  U</w:t>
      </w:r>
      <w:r w:rsidRPr="007521D5">
        <w:rPr>
          <w:spacing w:val="-2"/>
          <w:szCs w:val="22"/>
        </w:rPr>
        <w:t>nder this category and the associated small business size standard, the majority of these local resellers can be considered small entities.  According to Commission data, 213 carriers have reported that they are engaged in the provision of local resale services.</w:t>
      </w:r>
      <w:r>
        <w:rPr>
          <w:rStyle w:val="FootnoteReference"/>
          <w:spacing w:val="-2"/>
          <w:szCs w:val="22"/>
        </w:rPr>
        <w:footnoteReference w:id="239"/>
      </w:r>
      <w:r w:rsidRPr="007521D5">
        <w:rPr>
          <w:spacing w:val="-2"/>
          <w:szCs w:val="22"/>
        </w:rPr>
        <w:t xml:space="preserve">   Of th</w:t>
      </w:r>
      <w:r>
        <w:rPr>
          <w:spacing w:val="-2"/>
          <w:szCs w:val="22"/>
        </w:rPr>
        <w:t>is total</w:t>
      </w:r>
      <w:r w:rsidRPr="007521D5">
        <w:rPr>
          <w:spacing w:val="-2"/>
          <w:szCs w:val="22"/>
        </w:rPr>
        <w:t>, an estimated 211 have 1,500 or fewer employees and two have more than 1,500 employees.</w:t>
      </w:r>
      <w:r>
        <w:rPr>
          <w:rStyle w:val="FootnoteReference"/>
          <w:spacing w:val="-2"/>
          <w:szCs w:val="22"/>
        </w:rPr>
        <w:footnoteReference w:id="240"/>
      </w:r>
      <w:r w:rsidRPr="007521D5">
        <w:rPr>
          <w:spacing w:val="-2"/>
          <w:szCs w:val="22"/>
        </w:rPr>
        <w:t xml:space="preserve">   Consequently, the Commission estimates that the majority of local resellers are small entities that may be affected by rules adopted pursuant to the </w:t>
      </w:r>
      <w:r>
        <w:rPr>
          <w:spacing w:val="-2"/>
          <w:szCs w:val="22"/>
        </w:rPr>
        <w:t xml:space="preserve">proposals in this </w:t>
      </w:r>
      <w:r w:rsidRPr="00432E28">
        <w:rPr>
          <w:i/>
          <w:spacing w:val="-2"/>
          <w:szCs w:val="22"/>
        </w:rPr>
        <w:t>FNPRM</w:t>
      </w:r>
      <w:r w:rsidRPr="007521D5">
        <w:rPr>
          <w:spacing w:val="-2"/>
          <w:szCs w:val="22"/>
        </w:rPr>
        <w:t xml:space="preserve">. </w:t>
      </w:r>
    </w:p>
    <w:p w:rsidR="003B5035" w:rsidRPr="007521D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sidRPr="007521D5">
        <w:rPr>
          <w:spacing w:val="-2"/>
          <w:szCs w:val="22"/>
        </w:rPr>
        <w:t>1</w:t>
      </w:r>
      <w:r w:rsidR="00A93331">
        <w:rPr>
          <w:spacing w:val="-2"/>
          <w:szCs w:val="22"/>
        </w:rPr>
        <w:t>3</w:t>
      </w:r>
      <w:r w:rsidRPr="007521D5">
        <w:rPr>
          <w:spacing w:val="-2"/>
          <w:szCs w:val="22"/>
        </w:rPr>
        <w:t>.</w:t>
      </w:r>
      <w:r w:rsidRPr="007521D5">
        <w:rPr>
          <w:spacing w:val="-2"/>
          <w:szCs w:val="22"/>
        </w:rPr>
        <w:tab/>
      </w:r>
      <w:r w:rsidRPr="00D96FF2">
        <w:rPr>
          <w:b/>
          <w:spacing w:val="-2"/>
          <w:szCs w:val="22"/>
        </w:rPr>
        <w:t>Toll Resellers</w:t>
      </w:r>
      <w:r w:rsidRPr="007521D5">
        <w:rPr>
          <w:spacing w:val="-2"/>
          <w:szCs w:val="22"/>
        </w:rPr>
        <w:t>.  The SBA has developed a small business size standard for the category of Telecommunications Resellers.  Under that size standard, such a business is small if it has 1,500 or fewer employees.</w:t>
      </w:r>
      <w:r>
        <w:rPr>
          <w:rStyle w:val="FootnoteReference"/>
          <w:spacing w:val="-2"/>
          <w:szCs w:val="22"/>
        </w:rPr>
        <w:footnoteReference w:id="241"/>
      </w:r>
      <w:r w:rsidRPr="007521D5">
        <w:rPr>
          <w:spacing w:val="-2"/>
          <w:szCs w:val="22"/>
        </w:rPr>
        <w:t xml:space="preserve">   Census data for 2007 show that 1,523 firms provided resale services during that year.  Of that number, 1,522 operated with fewer than 1,000 employees and one operated with more than 1,000.</w:t>
      </w:r>
      <w:r>
        <w:rPr>
          <w:rStyle w:val="FootnoteReference"/>
          <w:spacing w:val="-2"/>
          <w:szCs w:val="22"/>
        </w:rPr>
        <w:footnoteReference w:id="242"/>
      </w:r>
      <w:r w:rsidRPr="007521D5">
        <w:rPr>
          <w:spacing w:val="-2"/>
          <w:szCs w:val="22"/>
        </w:rPr>
        <w:t xml:space="preserve">  Thus</w:t>
      </w:r>
      <w:r>
        <w:rPr>
          <w:spacing w:val="-2"/>
          <w:szCs w:val="22"/>
        </w:rPr>
        <w:t>,</w:t>
      </w:r>
      <w:r w:rsidRPr="007521D5">
        <w:rPr>
          <w:spacing w:val="-2"/>
          <w:szCs w:val="22"/>
        </w:rPr>
        <w:t xml:space="preserve"> under this category and the associated small business size standard, the majority of these resellers can be considered small entities.</w:t>
      </w:r>
      <w:r>
        <w:rPr>
          <w:spacing w:val="-2"/>
          <w:szCs w:val="22"/>
        </w:rPr>
        <w:t xml:space="preserve">  According to Commission data,</w:t>
      </w:r>
      <w:r w:rsidRPr="007521D5">
        <w:rPr>
          <w:spacing w:val="-2"/>
          <w:szCs w:val="22"/>
        </w:rPr>
        <w:t xml:space="preserve"> 881 carriers have reported that they are engaged in the provision of toll resale services.</w:t>
      </w:r>
      <w:r>
        <w:rPr>
          <w:rStyle w:val="FootnoteReference"/>
          <w:spacing w:val="-2"/>
          <w:szCs w:val="22"/>
        </w:rPr>
        <w:footnoteReference w:id="243"/>
      </w:r>
      <w:r w:rsidRPr="007521D5">
        <w:rPr>
          <w:spacing w:val="-2"/>
          <w:szCs w:val="22"/>
        </w:rPr>
        <w:t xml:space="preserve">  Of th</w:t>
      </w:r>
      <w:r>
        <w:rPr>
          <w:spacing w:val="-2"/>
          <w:szCs w:val="22"/>
        </w:rPr>
        <w:t>is total</w:t>
      </w:r>
      <w:r w:rsidRPr="007521D5">
        <w:rPr>
          <w:spacing w:val="-2"/>
          <w:szCs w:val="22"/>
        </w:rPr>
        <w:t>, an estimated 857 have 1,500 or fewer employees and 24 have more than 1,500 employees.</w:t>
      </w:r>
      <w:r>
        <w:rPr>
          <w:rStyle w:val="FootnoteReference"/>
          <w:spacing w:val="-2"/>
          <w:szCs w:val="22"/>
        </w:rPr>
        <w:footnoteReference w:id="244"/>
      </w:r>
      <w:r w:rsidRPr="007521D5">
        <w:rPr>
          <w:spacing w:val="-2"/>
          <w:szCs w:val="22"/>
        </w:rPr>
        <w:t xml:space="preserve">  Consequently, the Commission estimates that the majority of toll resellers are small entities that may </w:t>
      </w:r>
      <w:r>
        <w:rPr>
          <w:spacing w:val="-2"/>
          <w:szCs w:val="22"/>
        </w:rPr>
        <w:t xml:space="preserve">be affected by our proposals in the </w:t>
      </w:r>
      <w:r w:rsidRPr="00432E28">
        <w:rPr>
          <w:i/>
          <w:spacing w:val="-2"/>
          <w:szCs w:val="22"/>
        </w:rPr>
        <w:t>FNPRM</w:t>
      </w:r>
      <w:r w:rsidRPr="007521D5">
        <w:rPr>
          <w:spacing w:val="-2"/>
          <w:szCs w:val="22"/>
        </w:rPr>
        <w:t>.</w:t>
      </w:r>
    </w:p>
    <w:p w:rsidR="003B503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Pr>
          <w:spacing w:val="-2"/>
          <w:szCs w:val="22"/>
        </w:rPr>
        <w:t>1</w:t>
      </w:r>
      <w:r w:rsidR="00A93331">
        <w:rPr>
          <w:spacing w:val="-2"/>
          <w:szCs w:val="22"/>
        </w:rPr>
        <w:t>4</w:t>
      </w:r>
      <w:r>
        <w:rPr>
          <w:spacing w:val="-2"/>
          <w:szCs w:val="22"/>
        </w:rPr>
        <w:t>.</w:t>
      </w:r>
      <w:r>
        <w:rPr>
          <w:spacing w:val="-2"/>
          <w:szCs w:val="22"/>
        </w:rPr>
        <w:tab/>
      </w:r>
      <w:r w:rsidRPr="009C04AC">
        <w:rPr>
          <w:b/>
          <w:spacing w:val="-2"/>
          <w:szCs w:val="22"/>
        </w:rPr>
        <w:t>Other Toll Carriers.</w:t>
      </w:r>
      <w:r w:rsidRPr="00CD1070">
        <w:rPr>
          <w:spacing w:val="-2"/>
          <w:szCs w:val="22"/>
        </w:rPr>
        <w:t xml:space="preserve"> </w:t>
      </w:r>
      <w:r>
        <w:rPr>
          <w:spacing w:val="-2"/>
          <w:szCs w:val="22"/>
        </w:rPr>
        <w:t xml:space="preserve"> </w:t>
      </w:r>
      <w:r w:rsidRPr="00CD1070">
        <w:rPr>
          <w:spacing w:val="-2"/>
          <w:szCs w:val="22"/>
        </w:rPr>
        <w:t>Neither the Commission nor the SBA has developed a size</w:t>
      </w:r>
      <w:r>
        <w:rPr>
          <w:spacing w:val="-2"/>
          <w:szCs w:val="22"/>
        </w:rPr>
        <w:t xml:space="preserve"> </w:t>
      </w:r>
      <w:r w:rsidRPr="00CD1070">
        <w:rPr>
          <w:spacing w:val="-2"/>
          <w:szCs w:val="22"/>
        </w:rPr>
        <w:t>standard for small businesses specifically applicable to Other Toll Carriers. This category includes toll</w:t>
      </w:r>
      <w:r>
        <w:rPr>
          <w:spacing w:val="-2"/>
          <w:szCs w:val="22"/>
        </w:rPr>
        <w:t xml:space="preserve"> </w:t>
      </w:r>
      <w:r w:rsidRPr="00CD1070">
        <w:rPr>
          <w:spacing w:val="-2"/>
          <w:szCs w:val="22"/>
        </w:rPr>
        <w:t>carriers that do not fall within the categories of interexchange carriers, operator service providers, prepaid</w:t>
      </w:r>
      <w:r>
        <w:rPr>
          <w:spacing w:val="-2"/>
          <w:szCs w:val="22"/>
        </w:rPr>
        <w:t xml:space="preserve"> </w:t>
      </w:r>
      <w:r w:rsidRPr="00CD1070">
        <w:rPr>
          <w:spacing w:val="-2"/>
          <w:szCs w:val="22"/>
        </w:rPr>
        <w:t>calling card providers, satellite service carriers, or toll resellers. The closest applicable size standard</w:t>
      </w:r>
      <w:r>
        <w:rPr>
          <w:spacing w:val="-2"/>
          <w:szCs w:val="22"/>
        </w:rPr>
        <w:t xml:space="preserve"> </w:t>
      </w:r>
      <w:r w:rsidRPr="00CD1070">
        <w:rPr>
          <w:spacing w:val="-2"/>
          <w:szCs w:val="22"/>
        </w:rPr>
        <w:t>under SBA rules is for Wired Telecommunications Carriers. Under that size standard, such a business is</w:t>
      </w:r>
      <w:r>
        <w:rPr>
          <w:spacing w:val="-2"/>
          <w:szCs w:val="22"/>
        </w:rPr>
        <w:t xml:space="preserve"> </w:t>
      </w:r>
      <w:r w:rsidRPr="00CD1070">
        <w:rPr>
          <w:spacing w:val="-2"/>
          <w:szCs w:val="22"/>
        </w:rPr>
        <w:t xml:space="preserve">small if it </w:t>
      </w:r>
      <w:r>
        <w:rPr>
          <w:spacing w:val="-2"/>
          <w:szCs w:val="22"/>
        </w:rPr>
        <w:t>has 1,500 or fewer employees.</w:t>
      </w:r>
      <w:r>
        <w:rPr>
          <w:rStyle w:val="FootnoteReference"/>
          <w:spacing w:val="-2"/>
          <w:szCs w:val="22"/>
        </w:rPr>
        <w:footnoteReference w:id="245"/>
      </w:r>
      <w:r>
        <w:rPr>
          <w:spacing w:val="-2"/>
          <w:szCs w:val="22"/>
        </w:rPr>
        <w:t xml:space="preserve">  </w:t>
      </w:r>
      <w:r w:rsidRPr="00CD1070">
        <w:rPr>
          <w:spacing w:val="-2"/>
          <w:szCs w:val="22"/>
        </w:rPr>
        <w:t>Census data for 2007 shows that there were 31,996</w:t>
      </w:r>
      <w:r>
        <w:rPr>
          <w:spacing w:val="-2"/>
          <w:szCs w:val="22"/>
        </w:rPr>
        <w:t xml:space="preserve"> </w:t>
      </w:r>
      <w:r w:rsidRPr="00CD1070">
        <w:rPr>
          <w:spacing w:val="-2"/>
          <w:szCs w:val="22"/>
        </w:rPr>
        <w:t xml:space="preserve">establishments that operated that year. </w:t>
      </w:r>
      <w:r>
        <w:rPr>
          <w:spacing w:val="-2"/>
          <w:szCs w:val="22"/>
        </w:rPr>
        <w:t xml:space="preserve"> </w:t>
      </w:r>
      <w:r w:rsidRPr="00CD1070">
        <w:rPr>
          <w:spacing w:val="-2"/>
          <w:szCs w:val="22"/>
        </w:rPr>
        <w:t>Of th</w:t>
      </w:r>
      <w:r>
        <w:rPr>
          <w:spacing w:val="-2"/>
          <w:szCs w:val="22"/>
        </w:rPr>
        <w:t>is total</w:t>
      </w:r>
      <w:r w:rsidRPr="00CD1070">
        <w:rPr>
          <w:spacing w:val="-2"/>
          <w:szCs w:val="22"/>
        </w:rPr>
        <w:t>, 1,818 operated with more than 100 employees,</w:t>
      </w:r>
      <w:r>
        <w:rPr>
          <w:spacing w:val="-2"/>
          <w:szCs w:val="22"/>
        </w:rPr>
        <w:t xml:space="preserve"> </w:t>
      </w:r>
      <w:r w:rsidRPr="00CD1070">
        <w:rPr>
          <w:spacing w:val="-2"/>
          <w:szCs w:val="22"/>
        </w:rPr>
        <w:t xml:space="preserve">and 30,178 operated with fewer than 100 </w:t>
      </w:r>
      <w:r w:rsidRPr="00CD1070">
        <w:rPr>
          <w:spacing w:val="-2"/>
          <w:szCs w:val="22"/>
        </w:rPr>
        <w:lastRenderedPageBreak/>
        <w:t>employees.</w:t>
      </w:r>
      <w:r>
        <w:rPr>
          <w:rStyle w:val="FootnoteReference"/>
          <w:spacing w:val="-2"/>
          <w:szCs w:val="22"/>
        </w:rPr>
        <w:footnoteReference w:id="246"/>
      </w:r>
      <w:r>
        <w:rPr>
          <w:spacing w:val="-2"/>
          <w:szCs w:val="22"/>
        </w:rPr>
        <w:t xml:space="preserve">  </w:t>
      </w:r>
      <w:r w:rsidRPr="00CD1070">
        <w:rPr>
          <w:spacing w:val="-2"/>
          <w:szCs w:val="22"/>
        </w:rPr>
        <w:t>Thus, under this category and the associated</w:t>
      </w:r>
      <w:r>
        <w:rPr>
          <w:spacing w:val="-2"/>
          <w:szCs w:val="22"/>
        </w:rPr>
        <w:t xml:space="preserve"> </w:t>
      </w:r>
      <w:r w:rsidRPr="00CD1070">
        <w:rPr>
          <w:spacing w:val="-2"/>
          <w:szCs w:val="22"/>
        </w:rPr>
        <w:t xml:space="preserve">small business size standard, the majority of Other Toll Carriers can be considered small. </w:t>
      </w:r>
      <w:r>
        <w:rPr>
          <w:spacing w:val="-2"/>
          <w:szCs w:val="22"/>
        </w:rPr>
        <w:t xml:space="preserve"> </w:t>
      </w:r>
      <w:r w:rsidRPr="00CD1070">
        <w:rPr>
          <w:spacing w:val="-2"/>
          <w:szCs w:val="22"/>
        </w:rPr>
        <w:t>According to</w:t>
      </w:r>
      <w:r>
        <w:rPr>
          <w:spacing w:val="-2"/>
          <w:szCs w:val="22"/>
        </w:rPr>
        <w:t xml:space="preserve"> </w:t>
      </w:r>
      <w:r w:rsidRPr="00CD1070">
        <w:rPr>
          <w:spacing w:val="-2"/>
          <w:szCs w:val="22"/>
        </w:rPr>
        <w:t>Commission data, 284 companies reported that their primary telecommunications service activity was the</w:t>
      </w:r>
      <w:r>
        <w:rPr>
          <w:spacing w:val="-2"/>
          <w:szCs w:val="22"/>
        </w:rPr>
        <w:t xml:space="preserve"> </w:t>
      </w:r>
      <w:r w:rsidRPr="00CD1070">
        <w:rPr>
          <w:spacing w:val="-2"/>
          <w:szCs w:val="22"/>
        </w:rPr>
        <w:t>prov</w:t>
      </w:r>
      <w:r>
        <w:rPr>
          <w:spacing w:val="-2"/>
          <w:szCs w:val="22"/>
        </w:rPr>
        <w:t>ision of other toll carriage.</w:t>
      </w:r>
      <w:r>
        <w:rPr>
          <w:rStyle w:val="FootnoteReference"/>
          <w:spacing w:val="-2"/>
          <w:szCs w:val="22"/>
        </w:rPr>
        <w:footnoteReference w:id="247"/>
      </w:r>
      <w:r>
        <w:rPr>
          <w:spacing w:val="-2"/>
          <w:szCs w:val="22"/>
        </w:rPr>
        <w:t xml:space="preserve">  </w:t>
      </w:r>
      <w:r w:rsidRPr="00CD1070">
        <w:rPr>
          <w:spacing w:val="-2"/>
          <w:szCs w:val="22"/>
        </w:rPr>
        <w:t>Of these, an estimated 279 have 1,500 or fewer employees and five</w:t>
      </w:r>
      <w:r>
        <w:rPr>
          <w:spacing w:val="-2"/>
          <w:szCs w:val="22"/>
        </w:rPr>
        <w:t xml:space="preserve"> </w:t>
      </w:r>
      <w:r w:rsidRPr="00CD1070">
        <w:rPr>
          <w:spacing w:val="-2"/>
          <w:szCs w:val="22"/>
        </w:rPr>
        <w:t>ha</w:t>
      </w:r>
      <w:r>
        <w:rPr>
          <w:spacing w:val="-2"/>
          <w:szCs w:val="22"/>
        </w:rPr>
        <w:t>ve more than 1,500 employees.</w:t>
      </w:r>
      <w:r>
        <w:rPr>
          <w:rStyle w:val="FootnoteReference"/>
          <w:spacing w:val="-2"/>
          <w:szCs w:val="22"/>
        </w:rPr>
        <w:footnoteReference w:id="248"/>
      </w:r>
      <w:r>
        <w:rPr>
          <w:spacing w:val="-2"/>
          <w:szCs w:val="22"/>
        </w:rPr>
        <w:t xml:space="preserve">  </w:t>
      </w:r>
      <w:r w:rsidRPr="00CD1070">
        <w:rPr>
          <w:spacing w:val="-2"/>
          <w:szCs w:val="22"/>
        </w:rPr>
        <w:t>Consequently, the Commission estimates that most Other Toll</w:t>
      </w:r>
      <w:r>
        <w:rPr>
          <w:spacing w:val="-2"/>
          <w:szCs w:val="22"/>
        </w:rPr>
        <w:t xml:space="preserve"> </w:t>
      </w:r>
      <w:r w:rsidRPr="00CD1070">
        <w:rPr>
          <w:spacing w:val="-2"/>
          <w:szCs w:val="22"/>
        </w:rPr>
        <w:t>Carriers are small entities that may be affected by the rules and polic</w:t>
      </w:r>
      <w:r>
        <w:rPr>
          <w:spacing w:val="-2"/>
          <w:szCs w:val="22"/>
        </w:rPr>
        <w:t xml:space="preserve">ies adopted pursuant to the </w:t>
      </w:r>
      <w:r w:rsidRPr="00432E28">
        <w:rPr>
          <w:i/>
          <w:spacing w:val="-2"/>
          <w:szCs w:val="22"/>
        </w:rPr>
        <w:t>FNPRM</w:t>
      </w:r>
      <w:r w:rsidRPr="00CD1070">
        <w:rPr>
          <w:spacing w:val="-2"/>
          <w:szCs w:val="22"/>
        </w:rPr>
        <w:t>.</w:t>
      </w:r>
    </w:p>
    <w:p w:rsidR="003B503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Pr>
          <w:spacing w:val="-2"/>
          <w:szCs w:val="22"/>
        </w:rPr>
        <w:t>1</w:t>
      </w:r>
      <w:r w:rsidR="00A93331">
        <w:rPr>
          <w:spacing w:val="-2"/>
          <w:szCs w:val="22"/>
        </w:rPr>
        <w:t>5</w:t>
      </w:r>
      <w:r>
        <w:rPr>
          <w:spacing w:val="-2"/>
          <w:szCs w:val="22"/>
        </w:rPr>
        <w:t>.</w:t>
      </w:r>
      <w:r>
        <w:rPr>
          <w:spacing w:val="-2"/>
          <w:szCs w:val="22"/>
        </w:rPr>
        <w:tab/>
      </w:r>
      <w:r w:rsidRPr="00A50BC3">
        <w:rPr>
          <w:b/>
          <w:spacing w:val="-2"/>
          <w:szCs w:val="22"/>
        </w:rPr>
        <w:t xml:space="preserve">Wireless Telecommunications Carriers (except </w:t>
      </w:r>
      <w:r>
        <w:rPr>
          <w:b/>
          <w:spacing w:val="-2"/>
          <w:szCs w:val="22"/>
        </w:rPr>
        <w:t>S</w:t>
      </w:r>
      <w:r w:rsidRPr="00A50BC3">
        <w:rPr>
          <w:b/>
          <w:spacing w:val="-2"/>
          <w:szCs w:val="22"/>
        </w:rPr>
        <w:t>atellite).</w:t>
      </w:r>
      <w:r w:rsidRPr="00A50BC3">
        <w:rPr>
          <w:spacing w:val="-2"/>
          <w:szCs w:val="22"/>
        </w:rPr>
        <w:t xml:space="preserve">  </w:t>
      </w:r>
      <w:r w:rsidRPr="00A9716B">
        <w:rPr>
          <w:spacing w:val="-2"/>
          <w:szCs w:val="22"/>
        </w:rPr>
        <w:t>Since 2007, the SBA has</w:t>
      </w:r>
      <w:r>
        <w:rPr>
          <w:spacing w:val="-2"/>
          <w:szCs w:val="22"/>
        </w:rPr>
        <w:t xml:space="preserve"> </w:t>
      </w:r>
      <w:r w:rsidRPr="00A9716B">
        <w:rPr>
          <w:spacing w:val="-2"/>
          <w:szCs w:val="22"/>
        </w:rPr>
        <w:t>recognized wireless firms within this new, bro</w:t>
      </w:r>
      <w:r>
        <w:rPr>
          <w:spacing w:val="-2"/>
          <w:szCs w:val="22"/>
        </w:rPr>
        <w:t>ad, economic census category.</w:t>
      </w:r>
      <w:r>
        <w:rPr>
          <w:rStyle w:val="FootnoteReference"/>
          <w:spacing w:val="-2"/>
          <w:szCs w:val="22"/>
        </w:rPr>
        <w:footnoteReference w:id="249"/>
      </w:r>
      <w:r>
        <w:rPr>
          <w:spacing w:val="-2"/>
          <w:szCs w:val="22"/>
        </w:rPr>
        <w:t xml:space="preserve">  </w:t>
      </w:r>
      <w:r w:rsidRPr="00A9716B">
        <w:rPr>
          <w:spacing w:val="-2"/>
          <w:szCs w:val="22"/>
        </w:rPr>
        <w:t>Prior to that time, such</w:t>
      </w:r>
      <w:r>
        <w:rPr>
          <w:spacing w:val="-2"/>
          <w:szCs w:val="22"/>
        </w:rPr>
        <w:t xml:space="preserve"> </w:t>
      </w:r>
      <w:r w:rsidRPr="00A9716B">
        <w:rPr>
          <w:spacing w:val="-2"/>
          <w:szCs w:val="22"/>
        </w:rPr>
        <w:t>firms were within the now-superseded categories of Paging and Cellular and Other Wireless</w:t>
      </w:r>
      <w:r>
        <w:rPr>
          <w:spacing w:val="-2"/>
          <w:szCs w:val="22"/>
        </w:rPr>
        <w:t xml:space="preserve"> T</w:t>
      </w:r>
      <w:r w:rsidRPr="00A9716B">
        <w:rPr>
          <w:spacing w:val="-2"/>
          <w:szCs w:val="22"/>
        </w:rPr>
        <w:t>elecommunications.</w:t>
      </w:r>
      <w:r>
        <w:rPr>
          <w:rStyle w:val="FootnoteReference"/>
          <w:spacing w:val="-2"/>
          <w:szCs w:val="22"/>
        </w:rPr>
        <w:footnoteReference w:id="250"/>
      </w:r>
      <w:r>
        <w:rPr>
          <w:spacing w:val="-2"/>
          <w:szCs w:val="22"/>
        </w:rPr>
        <w:t xml:space="preserve">  </w:t>
      </w:r>
      <w:r w:rsidRPr="00A9716B">
        <w:rPr>
          <w:spacing w:val="-2"/>
          <w:szCs w:val="22"/>
        </w:rPr>
        <w:t>Under the present and prior categories, the SBA has deemed a wireless business</w:t>
      </w:r>
      <w:r>
        <w:rPr>
          <w:spacing w:val="-2"/>
          <w:szCs w:val="22"/>
        </w:rPr>
        <w:t xml:space="preserve"> </w:t>
      </w:r>
      <w:r w:rsidRPr="00A9716B">
        <w:rPr>
          <w:spacing w:val="-2"/>
          <w:szCs w:val="22"/>
        </w:rPr>
        <w:t>to be small if it has 1,500 or fewer employees.</w:t>
      </w:r>
      <w:r>
        <w:rPr>
          <w:rStyle w:val="FootnoteReference"/>
          <w:spacing w:val="-2"/>
          <w:szCs w:val="22"/>
        </w:rPr>
        <w:footnoteReference w:id="251"/>
      </w:r>
      <w:r>
        <w:rPr>
          <w:spacing w:val="-2"/>
          <w:szCs w:val="22"/>
        </w:rPr>
        <w:t xml:space="preserve">  </w:t>
      </w:r>
      <w:r w:rsidRPr="00A9716B">
        <w:rPr>
          <w:spacing w:val="-2"/>
          <w:szCs w:val="22"/>
        </w:rPr>
        <w:t>For this category, census data for 2007 show that there</w:t>
      </w:r>
      <w:r>
        <w:rPr>
          <w:spacing w:val="-2"/>
          <w:szCs w:val="22"/>
        </w:rPr>
        <w:t xml:space="preserve"> </w:t>
      </w:r>
      <w:r w:rsidRPr="00A9716B">
        <w:rPr>
          <w:spacing w:val="-2"/>
          <w:szCs w:val="22"/>
        </w:rPr>
        <w:t xml:space="preserve">were 11,163 establishments that </w:t>
      </w:r>
      <w:r>
        <w:rPr>
          <w:spacing w:val="-2"/>
          <w:szCs w:val="22"/>
        </w:rPr>
        <w:t>operated for the entire year.</w:t>
      </w:r>
      <w:r>
        <w:rPr>
          <w:rStyle w:val="FootnoteReference"/>
          <w:spacing w:val="-2"/>
          <w:szCs w:val="22"/>
        </w:rPr>
        <w:footnoteReference w:id="252"/>
      </w:r>
      <w:r>
        <w:rPr>
          <w:spacing w:val="-2"/>
          <w:szCs w:val="22"/>
        </w:rPr>
        <w:t xml:space="preserve">  </w:t>
      </w:r>
      <w:r w:rsidRPr="00A9716B">
        <w:rPr>
          <w:spacing w:val="-2"/>
          <w:szCs w:val="22"/>
        </w:rPr>
        <w:t>Of this total, 10,791 establishments had</w:t>
      </w:r>
      <w:r>
        <w:rPr>
          <w:spacing w:val="-2"/>
          <w:szCs w:val="22"/>
        </w:rPr>
        <w:t xml:space="preserve"> </w:t>
      </w:r>
      <w:r w:rsidRPr="00A9716B">
        <w:rPr>
          <w:spacing w:val="-2"/>
          <w:szCs w:val="22"/>
        </w:rPr>
        <w:t>employment of 999 or fewer employees and 372 had employment of 1000 employees or more.</w:t>
      </w:r>
      <w:r>
        <w:rPr>
          <w:rStyle w:val="FootnoteReference"/>
          <w:spacing w:val="-2"/>
          <w:szCs w:val="22"/>
        </w:rPr>
        <w:footnoteReference w:id="253"/>
      </w:r>
      <w:r>
        <w:rPr>
          <w:spacing w:val="-2"/>
          <w:szCs w:val="22"/>
        </w:rPr>
        <w:t xml:space="preserve">  </w:t>
      </w:r>
      <w:r w:rsidRPr="004740E3">
        <w:rPr>
          <w:spacing w:val="-2"/>
          <w:szCs w:val="22"/>
        </w:rPr>
        <w:t>Thus,</w:t>
      </w:r>
      <w:r w:rsidRPr="004740E3">
        <w:rPr>
          <w:szCs w:val="22"/>
        </w:rPr>
        <w:t xml:space="preserve"> under this category and the associated small business size standard, the Commission estimates that the m</w:t>
      </w:r>
      <w:r w:rsidRPr="004740E3">
        <w:rPr>
          <w:spacing w:val="-2"/>
          <w:szCs w:val="22"/>
        </w:rPr>
        <w:t>ajority of wireless telecommunications carriers (except satellite) are small entities that may be affected by our proposed action.</w:t>
      </w:r>
      <w:r w:rsidR="00A93331">
        <w:rPr>
          <w:spacing w:val="-2"/>
          <w:szCs w:val="22"/>
        </w:rPr>
        <w:t xml:space="preserve">  </w:t>
      </w:r>
      <w:r w:rsidRPr="004740E3">
        <w:rPr>
          <w:spacing w:val="-2"/>
          <w:szCs w:val="22"/>
        </w:rPr>
        <w:t>Similarly, according to Commission data, 413 carriers reported</w:t>
      </w:r>
      <w:r w:rsidRPr="00A9716B">
        <w:rPr>
          <w:spacing w:val="-2"/>
          <w:szCs w:val="22"/>
        </w:rPr>
        <w:t xml:space="preserve"> that they were engaged in</w:t>
      </w:r>
      <w:r>
        <w:rPr>
          <w:spacing w:val="-2"/>
          <w:szCs w:val="22"/>
        </w:rPr>
        <w:t xml:space="preserve"> </w:t>
      </w:r>
      <w:r w:rsidRPr="00A9716B">
        <w:rPr>
          <w:spacing w:val="-2"/>
          <w:szCs w:val="22"/>
        </w:rPr>
        <w:t>the provision of wireless telephony, including cellular service, Personal Communications Service (PCS),</w:t>
      </w:r>
      <w:r>
        <w:rPr>
          <w:spacing w:val="-2"/>
          <w:szCs w:val="22"/>
        </w:rPr>
        <w:t xml:space="preserve"> </w:t>
      </w:r>
      <w:r w:rsidRPr="00A9716B">
        <w:rPr>
          <w:spacing w:val="-2"/>
          <w:szCs w:val="22"/>
        </w:rPr>
        <w:t>and Specialized Mobile Radio (SMR) Telephony services.</w:t>
      </w:r>
      <w:r>
        <w:rPr>
          <w:rStyle w:val="FootnoteReference"/>
          <w:spacing w:val="-2"/>
          <w:szCs w:val="22"/>
        </w:rPr>
        <w:footnoteReference w:id="254"/>
      </w:r>
      <w:r>
        <w:rPr>
          <w:spacing w:val="-2"/>
          <w:szCs w:val="22"/>
        </w:rPr>
        <w:t xml:space="preserve">  </w:t>
      </w:r>
      <w:r w:rsidRPr="00A9716B">
        <w:rPr>
          <w:spacing w:val="-2"/>
          <w:szCs w:val="22"/>
        </w:rPr>
        <w:t>Of th</w:t>
      </w:r>
      <w:r>
        <w:rPr>
          <w:spacing w:val="-2"/>
          <w:szCs w:val="22"/>
        </w:rPr>
        <w:t>is total</w:t>
      </w:r>
      <w:r w:rsidRPr="00A9716B">
        <w:rPr>
          <w:spacing w:val="-2"/>
          <w:szCs w:val="22"/>
        </w:rPr>
        <w:t>, an estimated 261 have 1,500 or</w:t>
      </w:r>
      <w:r>
        <w:rPr>
          <w:spacing w:val="-2"/>
          <w:szCs w:val="22"/>
        </w:rPr>
        <w:t xml:space="preserve"> </w:t>
      </w:r>
      <w:r w:rsidRPr="00A9716B">
        <w:rPr>
          <w:spacing w:val="-2"/>
          <w:szCs w:val="22"/>
        </w:rPr>
        <w:t>fewer employees and 152 ha</w:t>
      </w:r>
      <w:r>
        <w:rPr>
          <w:spacing w:val="-2"/>
          <w:szCs w:val="22"/>
        </w:rPr>
        <w:t>ve more than 1,500 employees.</w:t>
      </w:r>
      <w:r>
        <w:rPr>
          <w:rStyle w:val="FootnoteReference"/>
          <w:spacing w:val="-2"/>
          <w:szCs w:val="22"/>
        </w:rPr>
        <w:footnoteReference w:id="255"/>
      </w:r>
      <w:r>
        <w:rPr>
          <w:spacing w:val="-2"/>
          <w:szCs w:val="22"/>
        </w:rPr>
        <w:t xml:space="preserve">  </w:t>
      </w:r>
      <w:r w:rsidRPr="00A9716B">
        <w:rPr>
          <w:spacing w:val="-2"/>
          <w:szCs w:val="22"/>
        </w:rPr>
        <w:t>Consequently, the Commission estimates</w:t>
      </w:r>
      <w:r>
        <w:rPr>
          <w:spacing w:val="-2"/>
          <w:szCs w:val="22"/>
        </w:rPr>
        <w:t xml:space="preserve"> </w:t>
      </w:r>
      <w:r w:rsidRPr="00A9716B">
        <w:rPr>
          <w:spacing w:val="-2"/>
          <w:szCs w:val="22"/>
        </w:rPr>
        <w:t>that approximately half or more of these firms can be considered small. Thus, using available data, we</w:t>
      </w:r>
      <w:r>
        <w:rPr>
          <w:spacing w:val="-2"/>
          <w:szCs w:val="22"/>
        </w:rPr>
        <w:t xml:space="preserve"> </w:t>
      </w:r>
      <w:r w:rsidRPr="00A9716B">
        <w:rPr>
          <w:spacing w:val="-2"/>
          <w:szCs w:val="22"/>
        </w:rPr>
        <w:t>estimate that the majority of wireless firms can be considered small.</w:t>
      </w:r>
    </w:p>
    <w:p w:rsidR="003B503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Pr>
          <w:spacing w:val="-2"/>
          <w:szCs w:val="22"/>
        </w:rPr>
        <w:t>1</w:t>
      </w:r>
      <w:r w:rsidR="00A93331">
        <w:rPr>
          <w:spacing w:val="-2"/>
          <w:szCs w:val="22"/>
        </w:rPr>
        <w:t>6</w:t>
      </w:r>
      <w:r>
        <w:rPr>
          <w:spacing w:val="-2"/>
          <w:szCs w:val="22"/>
        </w:rPr>
        <w:t>.</w:t>
      </w:r>
      <w:r>
        <w:rPr>
          <w:spacing w:val="-2"/>
          <w:szCs w:val="22"/>
        </w:rPr>
        <w:tab/>
      </w:r>
      <w:r w:rsidRPr="0065680B">
        <w:rPr>
          <w:b/>
          <w:spacing w:val="-2"/>
          <w:szCs w:val="22"/>
        </w:rPr>
        <w:t>Cable Television and other Program Distribution</w:t>
      </w:r>
      <w:r w:rsidR="00A93331">
        <w:rPr>
          <w:spacing w:val="-2"/>
          <w:szCs w:val="22"/>
        </w:rPr>
        <w:t xml:space="preserve">.  </w:t>
      </w:r>
      <w:r w:rsidRPr="0065680B">
        <w:rPr>
          <w:spacing w:val="-2"/>
          <w:szCs w:val="22"/>
        </w:rPr>
        <w:t xml:space="preserve">Since 2007, these services have been defined within the broad economic census category of Wired Telecommunications Carriers; that category is defined as follows:  “This industry comprises establishments primarily engaged in operating and/or providing access to transmission facilities and infrastructure that they own and/or lease for the transmission of voice, data, text, sound, and video using wired telecommunications networks. Transmission facilities may </w:t>
      </w:r>
      <w:r w:rsidRPr="0065680B">
        <w:rPr>
          <w:spacing w:val="-2"/>
          <w:szCs w:val="22"/>
        </w:rPr>
        <w:lastRenderedPageBreak/>
        <w:t>be based on a single technology or a combination of technologies.”</w:t>
      </w:r>
      <w:r>
        <w:rPr>
          <w:rStyle w:val="FootnoteReference"/>
          <w:spacing w:val="-2"/>
          <w:szCs w:val="22"/>
        </w:rPr>
        <w:footnoteReference w:id="256"/>
      </w:r>
      <w:r>
        <w:rPr>
          <w:spacing w:val="-2"/>
          <w:szCs w:val="22"/>
        </w:rPr>
        <w:t xml:space="preserve">  </w:t>
      </w:r>
      <w:r w:rsidRPr="0065680B">
        <w:rPr>
          <w:spacing w:val="-2"/>
          <w:szCs w:val="22"/>
        </w:rPr>
        <w:t>The SBA has developed a small business size standard for this category, which is:  all such firms having 1,500 or fewer employees.</w:t>
      </w:r>
      <w:r>
        <w:rPr>
          <w:rStyle w:val="FootnoteReference"/>
          <w:spacing w:val="-2"/>
          <w:szCs w:val="22"/>
        </w:rPr>
        <w:footnoteReference w:id="257"/>
      </w:r>
      <w:r w:rsidRPr="0065680B">
        <w:rPr>
          <w:spacing w:val="-2"/>
          <w:szCs w:val="22"/>
        </w:rPr>
        <w:t xml:space="preserve">  Census data for 2007 shows that there were </w:t>
      </w:r>
      <w:r>
        <w:rPr>
          <w:spacing w:val="-2"/>
          <w:szCs w:val="22"/>
        </w:rPr>
        <w:t xml:space="preserve">31,996 establishments that operated </w:t>
      </w:r>
      <w:r w:rsidRPr="0065680B">
        <w:rPr>
          <w:spacing w:val="-2"/>
          <w:szCs w:val="22"/>
        </w:rPr>
        <w:t>that year.   Of th</w:t>
      </w:r>
      <w:r>
        <w:rPr>
          <w:spacing w:val="-2"/>
          <w:szCs w:val="22"/>
        </w:rPr>
        <w:t>is total, 1,818</w:t>
      </w:r>
      <w:r w:rsidRPr="0065680B">
        <w:rPr>
          <w:spacing w:val="-2"/>
          <w:szCs w:val="22"/>
        </w:rPr>
        <w:t xml:space="preserve"> had </w:t>
      </w:r>
      <w:r>
        <w:rPr>
          <w:spacing w:val="-2"/>
          <w:szCs w:val="22"/>
        </w:rPr>
        <w:t>more</w:t>
      </w:r>
      <w:r w:rsidRPr="0065680B">
        <w:rPr>
          <w:spacing w:val="-2"/>
          <w:szCs w:val="22"/>
        </w:rPr>
        <w:t xml:space="preserve"> than 100 employees, and </w:t>
      </w:r>
      <w:r>
        <w:rPr>
          <w:spacing w:val="-2"/>
          <w:szCs w:val="22"/>
        </w:rPr>
        <w:t>30,178 operated with fewer than 100 employees</w:t>
      </w:r>
      <w:r w:rsidRPr="0065680B">
        <w:rPr>
          <w:spacing w:val="-2"/>
          <w:szCs w:val="22"/>
        </w:rPr>
        <w:t xml:space="preserve">.  Thus under this </w:t>
      </w:r>
      <w:r>
        <w:rPr>
          <w:spacing w:val="-2"/>
          <w:szCs w:val="22"/>
        </w:rPr>
        <w:t xml:space="preserve">size standard, </w:t>
      </w:r>
      <w:r w:rsidRPr="0065680B">
        <w:rPr>
          <w:spacing w:val="-2"/>
          <w:szCs w:val="22"/>
        </w:rPr>
        <w:t xml:space="preserve">the majority of firms </w:t>
      </w:r>
      <w:r>
        <w:rPr>
          <w:spacing w:val="-2"/>
          <w:szCs w:val="22"/>
        </w:rPr>
        <w:t xml:space="preserve">offering cable and other program distribution services </w:t>
      </w:r>
      <w:r w:rsidRPr="0065680B">
        <w:rPr>
          <w:spacing w:val="-2"/>
          <w:szCs w:val="22"/>
        </w:rPr>
        <w:t>can be considered small</w:t>
      </w:r>
      <w:r>
        <w:rPr>
          <w:spacing w:val="-2"/>
          <w:szCs w:val="22"/>
        </w:rPr>
        <w:t xml:space="preserve"> and may be affected by rules adopted pursuant to the </w:t>
      </w:r>
      <w:r w:rsidRPr="00432E28">
        <w:rPr>
          <w:i/>
          <w:spacing w:val="-2"/>
          <w:szCs w:val="22"/>
        </w:rPr>
        <w:t>FNPRM</w:t>
      </w:r>
      <w:r w:rsidRPr="0065680B">
        <w:rPr>
          <w:spacing w:val="-2"/>
          <w:szCs w:val="22"/>
        </w:rPr>
        <w:t>.</w:t>
      </w:r>
    </w:p>
    <w:p w:rsidR="003B5035" w:rsidRPr="0065680B" w:rsidRDefault="003B5035" w:rsidP="003B5035">
      <w:pPr>
        <w:tabs>
          <w:tab w:val="left" w:pos="1440"/>
        </w:tabs>
        <w:suppressAutoHyphens/>
        <w:spacing w:line="240" w:lineRule="atLeast"/>
        <w:ind w:firstLine="720"/>
        <w:rPr>
          <w:spacing w:val="-2"/>
          <w:szCs w:val="22"/>
        </w:rPr>
      </w:pPr>
    </w:p>
    <w:p w:rsidR="003B5035" w:rsidRDefault="00A93331" w:rsidP="003B5035">
      <w:pPr>
        <w:tabs>
          <w:tab w:val="left" w:pos="1440"/>
        </w:tabs>
        <w:suppressAutoHyphens/>
        <w:spacing w:line="240" w:lineRule="atLeast"/>
        <w:ind w:firstLine="720"/>
        <w:rPr>
          <w:spacing w:val="-2"/>
          <w:szCs w:val="22"/>
        </w:rPr>
      </w:pPr>
      <w:r>
        <w:rPr>
          <w:spacing w:val="-2"/>
          <w:szCs w:val="22"/>
        </w:rPr>
        <w:t>17</w:t>
      </w:r>
      <w:r w:rsidR="003B5035" w:rsidRPr="0065680B">
        <w:rPr>
          <w:spacing w:val="-2"/>
          <w:szCs w:val="22"/>
        </w:rPr>
        <w:t>.</w:t>
      </w:r>
      <w:r w:rsidR="003B5035" w:rsidRPr="0065680B">
        <w:rPr>
          <w:spacing w:val="-2"/>
          <w:szCs w:val="22"/>
        </w:rPr>
        <w:tab/>
      </w:r>
      <w:r w:rsidR="003B5035" w:rsidRPr="00FB045B">
        <w:rPr>
          <w:b/>
          <w:spacing w:val="-2"/>
          <w:szCs w:val="22"/>
        </w:rPr>
        <w:t>Cable Companies and Systems</w:t>
      </w:r>
      <w:r w:rsidR="003B5035" w:rsidRPr="0065680B">
        <w:rPr>
          <w:spacing w:val="-2"/>
          <w:szCs w:val="22"/>
        </w:rPr>
        <w:t>.  The Commission has developed its own small business size standards, for the purpose of cable rate regulation.  Under the Commission’s rules, a “small cable company” is one serving 400,000 or fewer subscribers, nationwide.</w:t>
      </w:r>
      <w:r w:rsidR="003B5035">
        <w:rPr>
          <w:rStyle w:val="FootnoteReference"/>
          <w:spacing w:val="-2"/>
          <w:szCs w:val="22"/>
        </w:rPr>
        <w:footnoteReference w:id="258"/>
      </w:r>
      <w:r w:rsidR="003B5035">
        <w:rPr>
          <w:spacing w:val="-2"/>
          <w:szCs w:val="22"/>
        </w:rPr>
        <w:t xml:space="preserve">  </w:t>
      </w:r>
      <w:r w:rsidR="003B5035" w:rsidRPr="0065680B">
        <w:rPr>
          <w:spacing w:val="-2"/>
          <w:szCs w:val="22"/>
        </w:rPr>
        <w:t>Industry data indicate that, of 1,076 cable operators nationwide, all but eleven are small under this size standard.</w:t>
      </w:r>
      <w:r w:rsidR="003B5035">
        <w:rPr>
          <w:rStyle w:val="FootnoteReference"/>
          <w:spacing w:val="-2"/>
          <w:szCs w:val="22"/>
        </w:rPr>
        <w:footnoteReference w:id="259"/>
      </w:r>
      <w:r w:rsidR="003B5035">
        <w:rPr>
          <w:spacing w:val="-2"/>
          <w:szCs w:val="22"/>
        </w:rPr>
        <w:t xml:space="preserve"> </w:t>
      </w:r>
      <w:r w:rsidR="003B5035" w:rsidRPr="0065680B">
        <w:rPr>
          <w:spacing w:val="-2"/>
          <w:szCs w:val="22"/>
        </w:rPr>
        <w:t xml:space="preserve"> In addition, under the Commission’s rules, a “small system” is a cable system serving 15,000 or fewer subscribers.</w:t>
      </w:r>
      <w:r w:rsidR="003B5035">
        <w:rPr>
          <w:rStyle w:val="FootnoteReference"/>
          <w:spacing w:val="-2"/>
          <w:szCs w:val="22"/>
        </w:rPr>
        <w:footnoteReference w:id="260"/>
      </w:r>
      <w:r w:rsidR="003B5035" w:rsidRPr="0065680B">
        <w:rPr>
          <w:spacing w:val="-2"/>
          <w:szCs w:val="22"/>
        </w:rPr>
        <w:t xml:space="preserve">   Industry data indicate that, of 6,635 systems nationwide, 5,802 systems have </w:t>
      </w:r>
      <w:r w:rsidRPr="0065680B">
        <w:rPr>
          <w:spacing w:val="-2"/>
          <w:szCs w:val="22"/>
        </w:rPr>
        <w:t>fewer than</w:t>
      </w:r>
      <w:r w:rsidR="003B5035" w:rsidRPr="0065680B">
        <w:rPr>
          <w:spacing w:val="-2"/>
          <w:szCs w:val="22"/>
        </w:rPr>
        <w:t xml:space="preserve"> 10,000 subscribers, and an additional 302 systems have 10,000-19,999 subscribers.</w:t>
      </w:r>
      <w:r w:rsidR="003B5035">
        <w:rPr>
          <w:rStyle w:val="FootnoteReference"/>
          <w:spacing w:val="-2"/>
          <w:szCs w:val="22"/>
        </w:rPr>
        <w:footnoteReference w:id="261"/>
      </w:r>
      <w:r w:rsidR="003B5035" w:rsidRPr="0065680B">
        <w:rPr>
          <w:spacing w:val="-2"/>
          <w:szCs w:val="22"/>
        </w:rPr>
        <w:t xml:space="preserve">   Thus, under this second size standar</w:t>
      </w:r>
      <w:r w:rsidR="003B5035">
        <w:rPr>
          <w:spacing w:val="-2"/>
          <w:szCs w:val="22"/>
        </w:rPr>
        <w:t xml:space="preserve">d, most cable systems are small and may be affected by rules adopted pursuant to the </w:t>
      </w:r>
      <w:r w:rsidR="003B5035" w:rsidRPr="00432E28">
        <w:rPr>
          <w:i/>
          <w:spacing w:val="-2"/>
          <w:szCs w:val="22"/>
        </w:rPr>
        <w:t>FNPRM</w:t>
      </w:r>
      <w:r w:rsidR="003B5035">
        <w:rPr>
          <w:spacing w:val="-2"/>
          <w:szCs w:val="22"/>
        </w:rPr>
        <w:t>.</w:t>
      </w:r>
    </w:p>
    <w:p w:rsidR="003B5035" w:rsidRDefault="003B5035" w:rsidP="003B5035">
      <w:pPr>
        <w:tabs>
          <w:tab w:val="left" w:pos="1440"/>
        </w:tabs>
        <w:suppressAutoHyphens/>
        <w:spacing w:line="240" w:lineRule="atLeast"/>
        <w:ind w:firstLine="720"/>
        <w:rPr>
          <w:spacing w:val="-2"/>
          <w:szCs w:val="22"/>
        </w:rPr>
      </w:pPr>
    </w:p>
    <w:p w:rsidR="003B5035" w:rsidRDefault="00A93331" w:rsidP="003B5035">
      <w:pPr>
        <w:tabs>
          <w:tab w:val="left" w:pos="1440"/>
        </w:tabs>
        <w:suppressAutoHyphens/>
        <w:spacing w:line="240" w:lineRule="atLeast"/>
        <w:ind w:firstLine="720"/>
        <w:rPr>
          <w:spacing w:val="-2"/>
          <w:szCs w:val="22"/>
        </w:rPr>
      </w:pPr>
      <w:r>
        <w:rPr>
          <w:spacing w:val="-2"/>
          <w:szCs w:val="22"/>
        </w:rPr>
        <w:t>18</w:t>
      </w:r>
      <w:r w:rsidR="003B5035">
        <w:rPr>
          <w:spacing w:val="-2"/>
          <w:szCs w:val="22"/>
        </w:rPr>
        <w:t>.</w:t>
      </w:r>
      <w:r w:rsidR="003B5035">
        <w:rPr>
          <w:spacing w:val="-2"/>
          <w:szCs w:val="22"/>
        </w:rPr>
        <w:tab/>
      </w:r>
      <w:r w:rsidR="003B5035" w:rsidRPr="00A205F0">
        <w:rPr>
          <w:b/>
          <w:spacing w:val="-2"/>
          <w:szCs w:val="22"/>
        </w:rPr>
        <w:t>All Other Telecommunications</w:t>
      </w:r>
      <w:r w:rsidR="003B5035" w:rsidRPr="00A205F0">
        <w:rPr>
          <w:spacing w:val="-2"/>
          <w:szCs w:val="22"/>
        </w:rPr>
        <w:t xml:space="preserve">. </w:t>
      </w:r>
      <w:r w:rsidR="003B5035">
        <w:rPr>
          <w:spacing w:val="-2"/>
          <w:szCs w:val="22"/>
        </w:rPr>
        <w:t xml:space="preserve"> </w:t>
      </w:r>
      <w:r w:rsidR="003B5035" w:rsidRPr="00A205F0">
        <w:rPr>
          <w:spacing w:val="-2"/>
          <w:szCs w:val="22"/>
        </w:rPr>
        <w:t>The Census Bureau defines this industry as including</w:t>
      </w:r>
      <w:r w:rsidR="003B5035">
        <w:rPr>
          <w:spacing w:val="-2"/>
          <w:szCs w:val="22"/>
        </w:rPr>
        <w:t xml:space="preserve"> </w:t>
      </w:r>
      <w:r w:rsidR="003B5035" w:rsidRPr="00A205F0">
        <w:rPr>
          <w:spacing w:val="-2"/>
          <w:szCs w:val="22"/>
        </w:rPr>
        <w:t>“establishments primarily engaged in providing specialized telecommunications services, such as satellite</w:t>
      </w:r>
      <w:r w:rsidR="003B5035">
        <w:rPr>
          <w:spacing w:val="-2"/>
          <w:szCs w:val="22"/>
        </w:rPr>
        <w:t xml:space="preserve"> </w:t>
      </w:r>
      <w:r w:rsidR="003B5035" w:rsidRPr="00A205F0">
        <w:rPr>
          <w:spacing w:val="-2"/>
          <w:szCs w:val="22"/>
        </w:rPr>
        <w:t xml:space="preserve">tracking, communications telemetry, and radar station operation. </w:t>
      </w:r>
      <w:r w:rsidR="003B5035">
        <w:rPr>
          <w:spacing w:val="-2"/>
          <w:szCs w:val="22"/>
        </w:rPr>
        <w:t xml:space="preserve"> </w:t>
      </w:r>
      <w:r w:rsidR="003B5035" w:rsidRPr="00A205F0">
        <w:rPr>
          <w:spacing w:val="-2"/>
          <w:szCs w:val="22"/>
        </w:rPr>
        <w:t>This industry also includes</w:t>
      </w:r>
      <w:r w:rsidR="003B5035">
        <w:rPr>
          <w:spacing w:val="-2"/>
          <w:szCs w:val="22"/>
        </w:rPr>
        <w:t xml:space="preserve"> </w:t>
      </w:r>
      <w:r w:rsidR="003B5035" w:rsidRPr="00A205F0">
        <w:rPr>
          <w:spacing w:val="-2"/>
          <w:szCs w:val="22"/>
        </w:rPr>
        <w:t>establishments</w:t>
      </w:r>
      <w:r w:rsidR="003B5035">
        <w:rPr>
          <w:spacing w:val="-2"/>
          <w:szCs w:val="22"/>
        </w:rPr>
        <w:t xml:space="preserve"> </w:t>
      </w:r>
      <w:r w:rsidR="003B5035" w:rsidRPr="00A205F0">
        <w:rPr>
          <w:spacing w:val="-2"/>
          <w:szCs w:val="22"/>
        </w:rPr>
        <w:t>primarily engaged in providing satellite terminal stations and associated facilities</w:t>
      </w:r>
      <w:r w:rsidR="003B5035">
        <w:rPr>
          <w:spacing w:val="-2"/>
          <w:szCs w:val="22"/>
        </w:rPr>
        <w:t xml:space="preserve"> </w:t>
      </w:r>
      <w:r w:rsidR="003B5035" w:rsidRPr="00A205F0">
        <w:rPr>
          <w:spacing w:val="-2"/>
          <w:szCs w:val="22"/>
        </w:rPr>
        <w:t>connected with one or</w:t>
      </w:r>
      <w:r w:rsidR="003B5035">
        <w:rPr>
          <w:spacing w:val="-2"/>
          <w:szCs w:val="22"/>
        </w:rPr>
        <w:t xml:space="preserve"> </w:t>
      </w:r>
      <w:r w:rsidR="003B5035" w:rsidRPr="00A205F0">
        <w:rPr>
          <w:spacing w:val="-2"/>
          <w:szCs w:val="22"/>
        </w:rPr>
        <w:t>more terrestrial systems and capable of transmitting telecommunications to, and</w:t>
      </w:r>
      <w:r w:rsidR="003B5035">
        <w:rPr>
          <w:spacing w:val="-2"/>
          <w:szCs w:val="22"/>
        </w:rPr>
        <w:t xml:space="preserve"> </w:t>
      </w:r>
      <w:r w:rsidR="003B5035" w:rsidRPr="00A205F0">
        <w:rPr>
          <w:spacing w:val="-2"/>
          <w:szCs w:val="22"/>
        </w:rPr>
        <w:t>receiving</w:t>
      </w:r>
      <w:r w:rsidR="003B5035">
        <w:rPr>
          <w:spacing w:val="-2"/>
          <w:szCs w:val="22"/>
        </w:rPr>
        <w:t xml:space="preserve"> </w:t>
      </w:r>
      <w:r w:rsidR="003B5035" w:rsidRPr="00A205F0">
        <w:rPr>
          <w:spacing w:val="-2"/>
          <w:szCs w:val="22"/>
        </w:rPr>
        <w:t>telecommunications from, satellite systems. Establishments providing Internet services or</w:t>
      </w:r>
      <w:r w:rsidR="003B5035">
        <w:rPr>
          <w:spacing w:val="-2"/>
          <w:szCs w:val="22"/>
        </w:rPr>
        <w:t xml:space="preserve"> </w:t>
      </w:r>
      <w:r w:rsidR="003B5035" w:rsidRPr="00A205F0">
        <w:rPr>
          <w:spacing w:val="-2"/>
          <w:szCs w:val="22"/>
        </w:rPr>
        <w:t>Voice over</w:t>
      </w:r>
      <w:r w:rsidR="003B5035">
        <w:rPr>
          <w:spacing w:val="-2"/>
          <w:szCs w:val="22"/>
        </w:rPr>
        <w:t xml:space="preserve"> </w:t>
      </w:r>
      <w:r w:rsidR="003B5035" w:rsidRPr="00A205F0">
        <w:rPr>
          <w:spacing w:val="-2"/>
          <w:szCs w:val="22"/>
        </w:rPr>
        <w:t>Internet Protocol (VoIP) services via client-supplied telecommunications connections are also</w:t>
      </w:r>
      <w:r w:rsidR="003B5035">
        <w:rPr>
          <w:spacing w:val="-2"/>
          <w:szCs w:val="22"/>
        </w:rPr>
        <w:t xml:space="preserve"> </w:t>
      </w:r>
      <w:r w:rsidR="003B5035" w:rsidRPr="00A205F0">
        <w:rPr>
          <w:spacing w:val="-2"/>
          <w:szCs w:val="22"/>
        </w:rPr>
        <w:t>included in</w:t>
      </w:r>
      <w:r w:rsidR="003B5035">
        <w:rPr>
          <w:spacing w:val="-2"/>
          <w:szCs w:val="22"/>
        </w:rPr>
        <w:t xml:space="preserve"> this industry.”</w:t>
      </w:r>
      <w:r w:rsidR="003B5035">
        <w:rPr>
          <w:rStyle w:val="FootnoteReference"/>
          <w:spacing w:val="-2"/>
          <w:szCs w:val="22"/>
        </w:rPr>
        <w:footnoteReference w:id="262"/>
      </w:r>
      <w:r w:rsidR="003B5035">
        <w:rPr>
          <w:spacing w:val="-2"/>
          <w:szCs w:val="22"/>
        </w:rPr>
        <w:t xml:space="preserve">  </w:t>
      </w:r>
      <w:r w:rsidR="003B5035" w:rsidRPr="00A205F0">
        <w:rPr>
          <w:spacing w:val="-2"/>
          <w:szCs w:val="22"/>
        </w:rPr>
        <w:t>The SBA has developed a small business size standard for this category; that</w:t>
      </w:r>
      <w:r w:rsidR="003B5035">
        <w:rPr>
          <w:spacing w:val="-2"/>
          <w:szCs w:val="22"/>
        </w:rPr>
        <w:t xml:space="preserve"> </w:t>
      </w:r>
      <w:r w:rsidR="003B5035" w:rsidRPr="00A205F0">
        <w:rPr>
          <w:spacing w:val="-2"/>
          <w:szCs w:val="22"/>
        </w:rPr>
        <w:t>size standard</w:t>
      </w:r>
      <w:r w:rsidR="003B5035">
        <w:rPr>
          <w:spacing w:val="-2"/>
          <w:szCs w:val="22"/>
        </w:rPr>
        <w:t xml:space="preserve"> </w:t>
      </w:r>
      <w:r w:rsidR="003B5035" w:rsidRPr="00A205F0">
        <w:rPr>
          <w:spacing w:val="-2"/>
          <w:szCs w:val="22"/>
        </w:rPr>
        <w:t>is $30.0 million or less in average annual receipts.</w:t>
      </w:r>
      <w:r w:rsidR="003B5035">
        <w:rPr>
          <w:rStyle w:val="FootnoteReference"/>
          <w:spacing w:val="-2"/>
          <w:szCs w:val="22"/>
        </w:rPr>
        <w:footnoteReference w:id="263"/>
      </w:r>
      <w:r w:rsidR="003B5035">
        <w:rPr>
          <w:spacing w:val="-2"/>
          <w:szCs w:val="22"/>
        </w:rPr>
        <w:t xml:space="preserve">  </w:t>
      </w:r>
      <w:r w:rsidR="003B5035" w:rsidRPr="00A205F0">
        <w:rPr>
          <w:spacing w:val="-2"/>
          <w:szCs w:val="22"/>
        </w:rPr>
        <w:t>According to Census Bureau data for</w:t>
      </w:r>
      <w:r w:rsidR="003B5035">
        <w:rPr>
          <w:spacing w:val="-2"/>
          <w:szCs w:val="22"/>
        </w:rPr>
        <w:t xml:space="preserve"> </w:t>
      </w:r>
      <w:r w:rsidR="003B5035" w:rsidRPr="00A205F0">
        <w:rPr>
          <w:spacing w:val="-2"/>
          <w:szCs w:val="22"/>
        </w:rPr>
        <w:t>2007, there were</w:t>
      </w:r>
      <w:r w:rsidR="003B5035">
        <w:rPr>
          <w:spacing w:val="-2"/>
          <w:szCs w:val="22"/>
        </w:rPr>
        <w:t xml:space="preserve"> </w:t>
      </w:r>
      <w:r w:rsidR="003B5035" w:rsidRPr="00A205F0">
        <w:rPr>
          <w:spacing w:val="-2"/>
          <w:szCs w:val="22"/>
        </w:rPr>
        <w:t xml:space="preserve">2,623 firms in this category that </w:t>
      </w:r>
      <w:r w:rsidR="003B5035">
        <w:rPr>
          <w:spacing w:val="-2"/>
          <w:szCs w:val="22"/>
        </w:rPr>
        <w:t>operated for the entire year.</w:t>
      </w:r>
      <w:r w:rsidR="003B5035">
        <w:rPr>
          <w:rStyle w:val="FootnoteReference"/>
          <w:spacing w:val="-2"/>
          <w:szCs w:val="22"/>
        </w:rPr>
        <w:footnoteReference w:id="264"/>
      </w:r>
      <w:r w:rsidR="003B5035">
        <w:rPr>
          <w:spacing w:val="-2"/>
          <w:szCs w:val="22"/>
        </w:rPr>
        <w:t xml:space="preserve">  </w:t>
      </w:r>
      <w:r w:rsidR="003B5035" w:rsidRPr="00A205F0">
        <w:rPr>
          <w:spacing w:val="-2"/>
          <w:szCs w:val="22"/>
        </w:rPr>
        <w:t xml:space="preserve">Of </w:t>
      </w:r>
      <w:r w:rsidR="003B5035">
        <w:rPr>
          <w:spacing w:val="-2"/>
          <w:szCs w:val="22"/>
        </w:rPr>
        <w:t>this total</w:t>
      </w:r>
      <w:r w:rsidR="003B5035" w:rsidRPr="00A205F0">
        <w:rPr>
          <w:spacing w:val="-2"/>
          <w:szCs w:val="22"/>
        </w:rPr>
        <w:t>, 2478</w:t>
      </w:r>
      <w:r w:rsidR="003B5035">
        <w:rPr>
          <w:spacing w:val="-2"/>
          <w:szCs w:val="22"/>
        </w:rPr>
        <w:t xml:space="preserve"> </w:t>
      </w:r>
      <w:r w:rsidR="003B5035" w:rsidRPr="00A205F0">
        <w:rPr>
          <w:spacing w:val="-2"/>
          <w:szCs w:val="22"/>
        </w:rPr>
        <w:t>establishments had annual</w:t>
      </w:r>
      <w:r w:rsidR="003B5035">
        <w:rPr>
          <w:spacing w:val="-2"/>
          <w:szCs w:val="22"/>
        </w:rPr>
        <w:t xml:space="preserve"> </w:t>
      </w:r>
      <w:r w:rsidR="003B5035" w:rsidRPr="00A205F0">
        <w:rPr>
          <w:spacing w:val="-2"/>
          <w:szCs w:val="22"/>
        </w:rPr>
        <w:lastRenderedPageBreak/>
        <w:t>receipts of under $10 million and 145 establishments had annual receipts of</w:t>
      </w:r>
      <w:r w:rsidR="003B5035">
        <w:rPr>
          <w:spacing w:val="-2"/>
          <w:szCs w:val="22"/>
        </w:rPr>
        <w:t xml:space="preserve"> $10 million or more.</w:t>
      </w:r>
      <w:r w:rsidR="003B5035">
        <w:rPr>
          <w:rStyle w:val="FootnoteReference"/>
          <w:spacing w:val="-2"/>
          <w:szCs w:val="22"/>
        </w:rPr>
        <w:footnoteReference w:id="265"/>
      </w:r>
      <w:r w:rsidR="003B5035">
        <w:rPr>
          <w:spacing w:val="-2"/>
          <w:szCs w:val="22"/>
        </w:rPr>
        <w:t xml:space="preserve"> </w:t>
      </w:r>
      <w:r w:rsidR="003B5035" w:rsidRPr="00A205F0">
        <w:rPr>
          <w:spacing w:val="-2"/>
          <w:szCs w:val="22"/>
        </w:rPr>
        <w:t>Consequently, we estimate that the majority of these firms are small entities that</w:t>
      </w:r>
      <w:r w:rsidR="003B5035">
        <w:rPr>
          <w:spacing w:val="-2"/>
          <w:szCs w:val="22"/>
        </w:rPr>
        <w:t xml:space="preserve"> </w:t>
      </w:r>
      <w:r w:rsidR="003B5035" w:rsidRPr="00A205F0">
        <w:rPr>
          <w:spacing w:val="-2"/>
          <w:szCs w:val="22"/>
        </w:rPr>
        <w:t>may be affected by our action</w:t>
      </w:r>
      <w:r w:rsidR="003B5035">
        <w:rPr>
          <w:spacing w:val="-2"/>
          <w:szCs w:val="22"/>
        </w:rPr>
        <w:t xml:space="preserve"> in this </w:t>
      </w:r>
      <w:r w:rsidR="003B5035" w:rsidRPr="00432E28">
        <w:rPr>
          <w:i/>
          <w:spacing w:val="-2"/>
          <w:szCs w:val="22"/>
        </w:rPr>
        <w:t>FNPRM</w:t>
      </w:r>
      <w:r w:rsidR="003B5035" w:rsidRPr="00A205F0">
        <w:rPr>
          <w:spacing w:val="-2"/>
          <w:szCs w:val="22"/>
        </w:rPr>
        <w:t>.</w:t>
      </w:r>
    </w:p>
    <w:p w:rsidR="003B5035" w:rsidRPr="007521D5" w:rsidRDefault="003B5035" w:rsidP="003B5035">
      <w:pPr>
        <w:tabs>
          <w:tab w:val="left" w:pos="1440"/>
        </w:tabs>
        <w:suppressAutoHyphens/>
        <w:spacing w:line="240" w:lineRule="atLeast"/>
        <w:ind w:firstLine="720"/>
        <w:jc w:val="center"/>
        <w:rPr>
          <w:spacing w:val="-2"/>
          <w:szCs w:val="22"/>
        </w:rPr>
      </w:pPr>
      <w:r w:rsidRPr="007521D5">
        <w:rPr>
          <w:spacing w:val="-2"/>
          <w:szCs w:val="22"/>
        </w:rPr>
        <w:tab/>
        <w:t xml:space="preserve"> </w:t>
      </w:r>
    </w:p>
    <w:p w:rsidR="003B5035" w:rsidRPr="007521D5" w:rsidRDefault="003B5035" w:rsidP="003B5035">
      <w:pPr>
        <w:tabs>
          <w:tab w:val="left" w:pos="1440"/>
        </w:tabs>
        <w:suppressAutoHyphens/>
        <w:spacing w:line="240" w:lineRule="atLeast"/>
        <w:ind w:firstLine="720"/>
        <w:rPr>
          <w:spacing w:val="-2"/>
          <w:szCs w:val="22"/>
        </w:rPr>
      </w:pPr>
      <w:r w:rsidRPr="001502DB">
        <w:rPr>
          <w:b/>
          <w:spacing w:val="-2"/>
          <w:szCs w:val="22"/>
        </w:rPr>
        <w:t>IV.  Description of Projected Reporting, Recordkeeping and Other Compliance Requirements</w:t>
      </w:r>
    </w:p>
    <w:p w:rsidR="003B5035" w:rsidRPr="007521D5" w:rsidRDefault="003B5035" w:rsidP="003B5035">
      <w:pPr>
        <w:tabs>
          <w:tab w:val="left" w:pos="1440"/>
        </w:tabs>
        <w:suppressAutoHyphens/>
        <w:spacing w:line="240" w:lineRule="atLeast"/>
        <w:ind w:firstLine="720"/>
        <w:jc w:val="center"/>
        <w:rPr>
          <w:spacing w:val="-2"/>
          <w:szCs w:val="22"/>
        </w:rPr>
      </w:pPr>
    </w:p>
    <w:p w:rsidR="007159E0" w:rsidRDefault="003B5035" w:rsidP="007159E0">
      <w:r w:rsidRPr="007521D5">
        <w:rPr>
          <w:spacing w:val="-2"/>
          <w:szCs w:val="22"/>
        </w:rPr>
        <w:tab/>
      </w:r>
      <w:r w:rsidR="007159E0">
        <w:rPr>
          <w:spacing w:val="-2"/>
          <w:szCs w:val="22"/>
        </w:rPr>
        <w:t>19</w:t>
      </w:r>
      <w:r w:rsidR="007159E0" w:rsidRPr="007521D5">
        <w:rPr>
          <w:spacing w:val="-2"/>
          <w:szCs w:val="22"/>
        </w:rPr>
        <w:t>.</w:t>
      </w:r>
      <w:r w:rsidR="007159E0" w:rsidRPr="007521D5">
        <w:rPr>
          <w:spacing w:val="-2"/>
          <w:szCs w:val="22"/>
        </w:rPr>
        <w:tab/>
      </w:r>
      <w:r w:rsidR="007159E0">
        <w:rPr>
          <w:spacing w:val="-2"/>
          <w:szCs w:val="22"/>
        </w:rPr>
        <w:t>While t</w:t>
      </w:r>
      <w:r w:rsidR="007159E0" w:rsidRPr="007521D5">
        <w:rPr>
          <w:spacing w:val="-2"/>
          <w:szCs w:val="22"/>
        </w:rPr>
        <w:t xml:space="preserve">his </w:t>
      </w:r>
      <w:r w:rsidR="007159E0" w:rsidRPr="00581F89">
        <w:rPr>
          <w:i/>
          <w:spacing w:val="-2"/>
          <w:szCs w:val="22"/>
        </w:rPr>
        <w:t>FNPRM</w:t>
      </w:r>
      <w:r w:rsidR="007159E0" w:rsidRPr="007521D5">
        <w:rPr>
          <w:spacing w:val="-2"/>
          <w:szCs w:val="22"/>
        </w:rPr>
        <w:t xml:space="preserve"> </w:t>
      </w:r>
      <w:r w:rsidR="007159E0">
        <w:rPr>
          <w:spacing w:val="-2"/>
          <w:szCs w:val="22"/>
        </w:rPr>
        <w:t>seeks comment on</w:t>
      </w:r>
      <w:r w:rsidR="007159E0" w:rsidRPr="007521D5">
        <w:rPr>
          <w:spacing w:val="-2"/>
          <w:szCs w:val="22"/>
        </w:rPr>
        <w:t xml:space="preserve"> changes to the Commission</w:t>
      </w:r>
      <w:r w:rsidR="007159E0">
        <w:rPr>
          <w:spacing w:val="-2"/>
          <w:szCs w:val="22"/>
        </w:rPr>
        <w:t>’</w:t>
      </w:r>
      <w:r w:rsidR="007159E0" w:rsidRPr="007521D5">
        <w:rPr>
          <w:spacing w:val="-2"/>
          <w:szCs w:val="22"/>
        </w:rPr>
        <w:t xml:space="preserve">s current </w:t>
      </w:r>
      <w:r w:rsidR="007159E0">
        <w:rPr>
          <w:spacing w:val="-2"/>
          <w:szCs w:val="22"/>
        </w:rPr>
        <w:t xml:space="preserve">regulatory fee methodology and schedule, any changes to the regulatory fee methodology will not impact the </w:t>
      </w:r>
      <w:r w:rsidR="007159E0" w:rsidRPr="007521D5">
        <w:rPr>
          <w:spacing w:val="-2"/>
          <w:szCs w:val="22"/>
        </w:rPr>
        <w:t xml:space="preserve">information collection, reporting, and recordkeeping requirements. </w:t>
      </w:r>
      <w:r w:rsidR="007159E0">
        <w:rPr>
          <w:spacing w:val="-2"/>
          <w:szCs w:val="22"/>
        </w:rPr>
        <w:t xml:space="preserve"> If a new fee is ultimately adopted, </w:t>
      </w:r>
      <w:r w:rsidR="007159E0">
        <w:rPr>
          <w:szCs w:val="22"/>
        </w:rPr>
        <w:t xml:space="preserve">the Commission’s current online procedures for payment of regulatory fees will apply for the collection and reporting of these fees. </w:t>
      </w:r>
    </w:p>
    <w:p w:rsidR="007159E0" w:rsidRDefault="007159E0" w:rsidP="007159E0"/>
    <w:p w:rsidR="007159E0" w:rsidRPr="007521D5" w:rsidRDefault="007159E0" w:rsidP="007159E0">
      <w:pPr>
        <w:tabs>
          <w:tab w:val="left" w:pos="1440"/>
        </w:tabs>
        <w:suppressAutoHyphens/>
        <w:spacing w:line="240" w:lineRule="atLeast"/>
        <w:ind w:firstLine="720"/>
        <w:rPr>
          <w:spacing w:val="-2"/>
          <w:szCs w:val="22"/>
        </w:rPr>
      </w:pPr>
      <w:r w:rsidRPr="001502DB">
        <w:rPr>
          <w:b/>
          <w:spacing w:val="-2"/>
          <w:szCs w:val="22"/>
        </w:rPr>
        <w:t>V.  Steps Taken to Minimize Significant Economic Impact on Small Entities, and Significant Alternatives Considered</w:t>
      </w:r>
    </w:p>
    <w:p w:rsidR="007159E0" w:rsidRPr="007521D5" w:rsidRDefault="007159E0" w:rsidP="007159E0">
      <w:pPr>
        <w:tabs>
          <w:tab w:val="left" w:pos="1440"/>
        </w:tabs>
        <w:suppressAutoHyphens/>
        <w:spacing w:line="240" w:lineRule="atLeast"/>
        <w:ind w:firstLine="720"/>
        <w:jc w:val="center"/>
        <w:rPr>
          <w:spacing w:val="-2"/>
          <w:szCs w:val="22"/>
        </w:rPr>
      </w:pPr>
    </w:p>
    <w:p w:rsidR="007159E0" w:rsidRDefault="007159E0" w:rsidP="007159E0">
      <w:pPr>
        <w:tabs>
          <w:tab w:val="left" w:pos="1440"/>
        </w:tabs>
        <w:suppressAutoHyphens/>
        <w:spacing w:line="240" w:lineRule="atLeast"/>
        <w:ind w:firstLine="720"/>
        <w:rPr>
          <w:spacing w:val="-2"/>
          <w:szCs w:val="22"/>
        </w:rPr>
      </w:pPr>
      <w:r>
        <w:rPr>
          <w:spacing w:val="-2"/>
          <w:szCs w:val="22"/>
        </w:rPr>
        <w:t>20</w:t>
      </w:r>
      <w:r w:rsidRPr="007521D5">
        <w:rPr>
          <w:spacing w:val="-2"/>
          <w:szCs w:val="22"/>
        </w:rPr>
        <w:t>.</w:t>
      </w:r>
      <w:r w:rsidRPr="007521D5">
        <w:rPr>
          <w:spacing w:val="-2"/>
          <w:szCs w:val="22"/>
        </w:rPr>
        <w:tab/>
        <w:t>The RFA requires an agency to describe any significant alternatives that it has considered in reaching its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spacing w:val="-2"/>
          <w:szCs w:val="22"/>
        </w:rPr>
        <w:footnoteReference w:id="266"/>
      </w:r>
      <w:r w:rsidRPr="007521D5">
        <w:rPr>
          <w:spacing w:val="-2"/>
          <w:szCs w:val="22"/>
        </w:rPr>
        <w:t xml:space="preserve">   </w:t>
      </w:r>
    </w:p>
    <w:p w:rsidR="007159E0" w:rsidRDefault="007159E0" w:rsidP="007159E0">
      <w:pPr>
        <w:tabs>
          <w:tab w:val="left" w:pos="1440"/>
        </w:tabs>
        <w:suppressAutoHyphens/>
        <w:spacing w:line="240" w:lineRule="atLeast"/>
        <w:ind w:firstLine="720"/>
        <w:rPr>
          <w:spacing w:val="-2"/>
          <w:szCs w:val="22"/>
        </w:rPr>
      </w:pPr>
    </w:p>
    <w:p w:rsidR="007159E0" w:rsidRDefault="007159E0" w:rsidP="007159E0">
      <w:pPr>
        <w:tabs>
          <w:tab w:val="left" w:pos="1440"/>
        </w:tabs>
        <w:suppressAutoHyphens/>
        <w:spacing w:line="240" w:lineRule="atLeast"/>
        <w:ind w:firstLine="720"/>
        <w:rPr>
          <w:spacing w:val="-2"/>
          <w:szCs w:val="22"/>
        </w:rPr>
      </w:pPr>
      <w:r>
        <w:rPr>
          <w:spacing w:val="-2"/>
          <w:szCs w:val="22"/>
        </w:rPr>
        <w:t>21.</w:t>
      </w:r>
      <w:r>
        <w:rPr>
          <w:spacing w:val="-2"/>
          <w:szCs w:val="22"/>
        </w:rPr>
        <w:tab/>
      </w:r>
      <w:r>
        <w:t xml:space="preserve">Toll </w:t>
      </w:r>
      <w:r w:rsidRPr="004F3FEC">
        <w:t xml:space="preserve">free numbers allow callers to reach </w:t>
      </w:r>
      <w:r>
        <w:t xml:space="preserve">the called party </w:t>
      </w:r>
      <w:r w:rsidRPr="004F3FEC">
        <w:t>without being charged for the call</w:t>
      </w:r>
      <w:r>
        <w:t>; instead t</w:t>
      </w:r>
      <w:r w:rsidRPr="004F3FEC">
        <w:t xml:space="preserve">he charge for </w:t>
      </w:r>
      <w:r>
        <w:t>the call i</w:t>
      </w:r>
      <w:r w:rsidRPr="004F3FEC">
        <w:t>s paid by the called party (the toll free subscrib</w:t>
      </w:r>
      <w:r>
        <w:t>er)</w:t>
      </w:r>
      <w:r w:rsidRPr="004F3FEC">
        <w:t>.</w:t>
      </w:r>
      <w:r>
        <w:rPr>
          <w:rStyle w:val="FootnoteReference"/>
        </w:rPr>
        <w:footnoteReference w:id="267"/>
      </w:r>
      <w:r>
        <w:t xml:space="preserve"> A</w:t>
      </w:r>
      <w:r w:rsidRPr="00222625">
        <w:t xml:space="preserve"> Resp</w:t>
      </w:r>
      <w:r>
        <w:t xml:space="preserve">onsible </w:t>
      </w:r>
      <w:r w:rsidRPr="00222625">
        <w:t>Org</w:t>
      </w:r>
      <w:r>
        <w:t xml:space="preserve">anization (RespOrg) </w:t>
      </w:r>
      <w:r w:rsidRPr="00222625">
        <w:t xml:space="preserve">is a company </w:t>
      </w:r>
      <w:r>
        <w:t>that</w:t>
      </w:r>
      <w:r w:rsidRPr="00222625">
        <w:t xml:space="preserve"> </w:t>
      </w:r>
      <w:r>
        <w:t>manages</w:t>
      </w:r>
      <w:r w:rsidRPr="00222625">
        <w:t xml:space="preserve"> toll</w:t>
      </w:r>
      <w:r>
        <w:t xml:space="preserve"> </w:t>
      </w:r>
      <w:r w:rsidRPr="00222625">
        <w:t xml:space="preserve">free telephone numbers </w:t>
      </w:r>
      <w:r>
        <w:t>for subscribers</w:t>
      </w:r>
      <w:r w:rsidRPr="00222625">
        <w:t>.</w:t>
      </w:r>
      <w:r w:rsidRPr="0053390F">
        <w:t xml:space="preserve"> </w:t>
      </w:r>
      <w:r>
        <w:t xml:space="preserve"> They use the SMS/800 data base to verify the availability of specific numbers and to reserve the numbers for subscribers.</w:t>
      </w:r>
      <w:r w:rsidRPr="00B64A88">
        <w:t xml:space="preserve"> </w:t>
      </w:r>
      <w:r>
        <w:t xml:space="preserve"> </w:t>
      </w:r>
      <w:r w:rsidRPr="00995C9F">
        <w:rPr>
          <w:i/>
        </w:rPr>
        <w:t>See</w:t>
      </w:r>
      <w:r w:rsidRPr="00AF1916">
        <w:t xml:space="preserve"> 47 C.F.R. § 52.101(</w:t>
      </w:r>
      <w:r>
        <w:t>b</w:t>
      </w:r>
      <w:r w:rsidRPr="00AF1916">
        <w:t>).</w:t>
      </w:r>
      <w:r>
        <w:t xml:space="preserve">  </w:t>
      </w:r>
      <w:r>
        <w:rPr>
          <w:szCs w:val="22"/>
        </w:rPr>
        <w:t xml:space="preserve">It is possible that our proposal, if adopted, would result in increasing or imposing a regulatory fee burden </w:t>
      </w:r>
      <w:r>
        <w:rPr>
          <w:spacing w:val="-2"/>
          <w:szCs w:val="22"/>
        </w:rPr>
        <w:t>on small entities such as RespOrgs.  The actual fee amount or financial burden, however, will be determined after comments are received and evaluated.  Our proposal exempts entities that are already paying regulatory fees, such as Interexchange Carriers, but would assess fees on other Responsible Organizations that do not currently pay any regulatory fees.  In addition, it is possible that many of the RespOrgs may also qualify for de minimis status if their total regulatory fee obligation is $500 or less, beginning in FY 2015.  T</w:t>
      </w:r>
      <w:r w:rsidRPr="007521D5">
        <w:rPr>
          <w:spacing w:val="-2"/>
          <w:szCs w:val="22"/>
        </w:rPr>
        <w:t>he Commission seeks comment on the abovementioned</w:t>
      </w:r>
      <w:r>
        <w:rPr>
          <w:spacing w:val="-2"/>
          <w:szCs w:val="22"/>
        </w:rPr>
        <w:t xml:space="preserve"> proposal</w:t>
      </w:r>
      <w:r w:rsidRPr="007521D5">
        <w:rPr>
          <w:spacing w:val="-2"/>
          <w:szCs w:val="22"/>
        </w:rPr>
        <w:t xml:space="preserve">, </w:t>
      </w:r>
      <w:r>
        <w:rPr>
          <w:spacing w:val="-2"/>
          <w:szCs w:val="22"/>
        </w:rPr>
        <w:t xml:space="preserve">including </w:t>
      </w:r>
      <w:r w:rsidRPr="007521D5">
        <w:rPr>
          <w:spacing w:val="-2"/>
          <w:szCs w:val="22"/>
        </w:rPr>
        <w:t xml:space="preserve">methods </w:t>
      </w:r>
      <w:r>
        <w:rPr>
          <w:spacing w:val="-2"/>
          <w:szCs w:val="22"/>
        </w:rPr>
        <w:t xml:space="preserve">on how to </w:t>
      </w:r>
      <w:r w:rsidRPr="007521D5">
        <w:rPr>
          <w:spacing w:val="-2"/>
          <w:szCs w:val="22"/>
        </w:rPr>
        <w:t>minimize significant economic impact on small entities.</w:t>
      </w:r>
    </w:p>
    <w:p w:rsidR="007159E0" w:rsidRDefault="007159E0" w:rsidP="007159E0"/>
    <w:p w:rsidR="007159E0" w:rsidRDefault="007159E0" w:rsidP="007159E0"/>
    <w:p w:rsidR="003B5035" w:rsidRPr="002C3FFF" w:rsidRDefault="003B5035" w:rsidP="003B5035">
      <w:pPr>
        <w:tabs>
          <w:tab w:val="left" w:pos="1440"/>
        </w:tabs>
        <w:suppressAutoHyphens/>
        <w:spacing w:line="240" w:lineRule="atLeast"/>
        <w:ind w:firstLine="720"/>
        <w:rPr>
          <w:b/>
          <w:spacing w:val="-2"/>
          <w:szCs w:val="22"/>
        </w:rPr>
      </w:pPr>
      <w:r w:rsidRPr="002C3FFF">
        <w:rPr>
          <w:b/>
          <w:spacing w:val="-2"/>
          <w:szCs w:val="22"/>
        </w:rPr>
        <w:t>VI.  Federal Rules that May Duplicate, Overlap, or Conflict with the Proposed Rules</w:t>
      </w:r>
    </w:p>
    <w:p w:rsidR="003B5035" w:rsidRPr="007521D5" w:rsidRDefault="003B5035" w:rsidP="003B5035">
      <w:pPr>
        <w:tabs>
          <w:tab w:val="left" w:pos="1440"/>
        </w:tabs>
        <w:suppressAutoHyphens/>
        <w:spacing w:line="240" w:lineRule="atLeast"/>
        <w:ind w:firstLine="720"/>
        <w:rPr>
          <w:spacing w:val="-2"/>
          <w:szCs w:val="22"/>
        </w:rPr>
      </w:pPr>
    </w:p>
    <w:p w:rsidR="003B5035" w:rsidRDefault="003B5035" w:rsidP="003B5035">
      <w:pPr>
        <w:tabs>
          <w:tab w:val="left" w:pos="1440"/>
        </w:tabs>
        <w:suppressAutoHyphens/>
        <w:spacing w:line="240" w:lineRule="atLeast"/>
        <w:ind w:firstLine="720"/>
        <w:rPr>
          <w:spacing w:val="-2"/>
          <w:szCs w:val="22"/>
        </w:rPr>
      </w:pPr>
      <w:r>
        <w:rPr>
          <w:spacing w:val="-2"/>
          <w:szCs w:val="22"/>
        </w:rPr>
        <w:t>2</w:t>
      </w:r>
      <w:r w:rsidR="00A93331">
        <w:rPr>
          <w:spacing w:val="-2"/>
          <w:szCs w:val="22"/>
        </w:rPr>
        <w:t>3</w:t>
      </w:r>
      <w:r w:rsidRPr="007521D5">
        <w:rPr>
          <w:spacing w:val="-2"/>
          <w:szCs w:val="22"/>
        </w:rPr>
        <w:t>.</w:t>
      </w:r>
      <w:r w:rsidRPr="007521D5">
        <w:rPr>
          <w:spacing w:val="-2"/>
          <w:szCs w:val="22"/>
        </w:rPr>
        <w:tab/>
        <w:t>None.</w:t>
      </w:r>
    </w:p>
    <w:p w:rsidR="003B5035" w:rsidRDefault="003B5035" w:rsidP="003B5035">
      <w:pPr>
        <w:tabs>
          <w:tab w:val="left" w:pos="1440"/>
        </w:tabs>
        <w:suppressAutoHyphens/>
        <w:spacing w:line="240" w:lineRule="atLeast"/>
        <w:ind w:firstLine="720"/>
        <w:rPr>
          <w:spacing w:val="-2"/>
          <w:szCs w:val="22"/>
        </w:rPr>
      </w:pPr>
    </w:p>
    <w:p w:rsidR="00264877" w:rsidRPr="007521D5" w:rsidRDefault="00264877" w:rsidP="00264877">
      <w:pPr>
        <w:tabs>
          <w:tab w:val="left" w:pos="1440"/>
        </w:tabs>
        <w:suppressAutoHyphens/>
        <w:spacing w:line="240" w:lineRule="atLeast"/>
        <w:ind w:firstLine="720"/>
        <w:jc w:val="center"/>
        <w:rPr>
          <w:spacing w:val="-2"/>
          <w:szCs w:val="22"/>
        </w:rPr>
      </w:pPr>
      <w:r w:rsidRPr="007521D5">
        <w:rPr>
          <w:spacing w:val="-2"/>
          <w:szCs w:val="22"/>
        </w:rPr>
        <w:t xml:space="preserve"> </w:t>
      </w:r>
    </w:p>
    <w:p w:rsidR="00706BAB" w:rsidRDefault="00706BAB">
      <w:pPr>
        <w:widowControl/>
        <w:rPr>
          <w:rFonts w:ascii="Times New Roman Bold" w:hAnsi="Times New Roman Bold"/>
          <w:b/>
          <w:caps/>
          <w:spacing w:val="-2"/>
          <w:szCs w:val="22"/>
        </w:rPr>
      </w:pPr>
      <w:r>
        <w:rPr>
          <w:spacing w:val="-2"/>
          <w:szCs w:val="22"/>
        </w:rPr>
        <w:br w:type="page"/>
      </w:r>
    </w:p>
    <w:p w:rsidR="00706BAB" w:rsidRDefault="005261EC" w:rsidP="00706BAB">
      <w:pPr>
        <w:autoSpaceDE w:val="0"/>
        <w:autoSpaceDN w:val="0"/>
        <w:adjustRightInd w:val="0"/>
        <w:jc w:val="center"/>
        <w:rPr>
          <w:b/>
        </w:rPr>
      </w:pPr>
      <w:r>
        <w:rPr>
          <w:b/>
        </w:rPr>
        <w:lastRenderedPageBreak/>
        <w:t>APPENDIX</w:t>
      </w:r>
      <w:r w:rsidR="00883A16">
        <w:rPr>
          <w:b/>
        </w:rPr>
        <w:t xml:space="preserve"> </w:t>
      </w:r>
      <w:r w:rsidR="004B03E3">
        <w:rPr>
          <w:b/>
        </w:rPr>
        <w:t>H</w:t>
      </w:r>
    </w:p>
    <w:p w:rsidR="00706BAB" w:rsidRDefault="00706BAB" w:rsidP="00706BAB">
      <w:pPr>
        <w:autoSpaceDE w:val="0"/>
        <w:autoSpaceDN w:val="0"/>
        <w:adjustRightInd w:val="0"/>
        <w:jc w:val="center"/>
        <w:rPr>
          <w:b/>
        </w:rPr>
      </w:pPr>
    </w:p>
    <w:p w:rsidR="00706BAB" w:rsidRDefault="00706BAB" w:rsidP="00706BAB">
      <w:pPr>
        <w:autoSpaceDE w:val="0"/>
        <w:autoSpaceDN w:val="0"/>
        <w:adjustRightInd w:val="0"/>
        <w:jc w:val="center"/>
        <w:rPr>
          <w:b/>
          <w:vertAlign w:val="superscript"/>
        </w:rPr>
      </w:pPr>
      <w:r>
        <w:rPr>
          <w:b/>
        </w:rPr>
        <w:t>Revised FTE (as of 9/30/12) Allocations</w:t>
      </w:r>
    </w:p>
    <w:p w:rsidR="00706BAB" w:rsidRDefault="00706BAB" w:rsidP="00883A16">
      <w:pPr>
        <w:ind w:left="2160" w:firstLine="720"/>
        <w:rPr>
          <w:b/>
        </w:rPr>
      </w:pPr>
      <w:r>
        <w:rPr>
          <w:b/>
        </w:rPr>
        <w:t>FY 2013 Schedule of Regulatory Fees</w:t>
      </w:r>
    </w:p>
    <w:p w:rsidR="006240EA" w:rsidRDefault="006240EA" w:rsidP="006240EA">
      <w:pPr>
        <w:ind w:left="2160" w:firstLine="720"/>
        <w:rPr>
          <w:b/>
        </w:rPr>
      </w:pPr>
      <w:r>
        <w:rPr>
          <w:b/>
        </w:rPr>
        <w:t>(Fee Rates Capped at 7.5%)</w:t>
      </w:r>
    </w:p>
    <w:p w:rsidR="00706BAB" w:rsidRDefault="00706BAB" w:rsidP="00706BAB">
      <w:pPr>
        <w:jc w:val="center"/>
        <w:rPr>
          <w:b/>
        </w:rPr>
      </w:pPr>
    </w:p>
    <w:p w:rsidR="00706BAB" w:rsidRDefault="00706BAB" w:rsidP="00706BAB">
      <w:pPr>
        <w:tabs>
          <w:tab w:val="center" w:pos="5040"/>
        </w:tabs>
        <w:suppressAutoHyphens/>
        <w:outlineLvl w:val="0"/>
        <w:rPr>
          <w:szCs w:val="22"/>
        </w:rPr>
      </w:pPr>
      <w:bookmarkStart w:id="324" w:name="_Toc382499687"/>
      <w:bookmarkStart w:id="325" w:name="_Toc382567947"/>
      <w:bookmarkStart w:id="326" w:name="_Toc382576279"/>
      <w:bookmarkStart w:id="327" w:name="_Toc384227084"/>
      <w:bookmarkStart w:id="328" w:name="_Toc394672344"/>
      <w:r>
        <w:rPr>
          <w:szCs w:val="22"/>
        </w:rPr>
        <w:t>Regulatory fees for the categories shaded in gray are collected by the Commission in advance to cover the term of the license and are submitted at the time the application is filed.</w:t>
      </w:r>
      <w:bookmarkEnd w:id="324"/>
      <w:bookmarkEnd w:id="325"/>
      <w:bookmarkEnd w:id="326"/>
      <w:bookmarkEnd w:id="327"/>
      <w:bookmarkEnd w:id="328"/>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ind w:left="1440" w:hanging="1440"/>
        <w:rPr>
          <w:sz w:val="20"/>
        </w:rPr>
      </w:pPr>
      <w:r>
        <w:rPr>
          <w:sz w:val="20"/>
        </w:rPr>
        <w:tab/>
      </w:r>
      <w:r>
        <w:rPr>
          <w:sz w:val="20"/>
        </w:rPr>
        <w:tab/>
      </w:r>
      <w:r>
        <w:rPr>
          <w:sz w:val="20"/>
        </w:rPr>
        <w:tab/>
      </w:r>
    </w:p>
    <w:tbl>
      <w:tblPr>
        <w:tblW w:w="8550" w:type="dxa"/>
        <w:tblInd w:w="210" w:type="dxa"/>
        <w:tblLayout w:type="fixed"/>
        <w:tblCellMar>
          <w:left w:w="120" w:type="dxa"/>
          <w:right w:w="120" w:type="dxa"/>
        </w:tblCellMar>
        <w:tblLook w:val="0000"/>
      </w:tblPr>
      <w:tblGrid>
        <w:gridCol w:w="7020"/>
        <w:gridCol w:w="1530"/>
      </w:tblGrid>
      <w:tr w:rsidR="00706BAB" w:rsidTr="00EE12B4">
        <w:trPr>
          <w:tblHeader/>
        </w:trPr>
        <w:tc>
          <w:tcPr>
            <w:tcW w:w="7020" w:type="dxa"/>
            <w:tcBorders>
              <w:top w:val="double" w:sz="6" w:space="0" w:color="auto"/>
              <w:left w:val="double" w:sz="6" w:space="0" w:color="auto"/>
              <w:bottom w:val="single" w:sz="8" w:space="0" w:color="auto"/>
            </w:tcBorders>
          </w:tcPr>
          <w:p w:rsidR="00706BAB" w:rsidRDefault="001A7F66"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sz w:val="20"/>
              </w:rPr>
            </w:pPr>
            <w:r>
              <w:rPr>
                <w:sz w:val="20"/>
              </w:rPr>
              <w:fldChar w:fldCharType="begin"/>
            </w:r>
            <w:r w:rsidR="00706BAB">
              <w:rPr>
                <w:sz w:val="20"/>
              </w:rPr>
              <w:instrText xml:space="preserve">PRIVATE </w:instrText>
            </w:r>
            <w:r>
              <w:rPr>
                <w:sz w:val="20"/>
              </w:rPr>
              <w:fldChar w:fldCharType="end"/>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b/>
                <w:sz w:val="20"/>
              </w:rPr>
            </w:pPr>
            <w:r>
              <w:rPr>
                <w:b/>
                <w:sz w:val="20"/>
              </w:rPr>
              <w:t>Fee Category</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after="54"/>
              <w:rPr>
                <w:b/>
                <w:sz w:val="20"/>
              </w:rPr>
            </w:pPr>
          </w:p>
        </w:tc>
        <w:tc>
          <w:tcPr>
            <w:tcW w:w="1530" w:type="dxa"/>
            <w:tcBorders>
              <w:top w:val="double" w:sz="6" w:space="0" w:color="auto"/>
              <w:left w:val="single" w:sz="6" w:space="0" w:color="auto"/>
              <w:bottom w:val="single" w:sz="8"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jc w:val="center"/>
              <w:rPr>
                <w:b/>
                <w:sz w:val="20"/>
              </w:rPr>
            </w:pPr>
            <w:r>
              <w:rPr>
                <w:b/>
                <w:sz w:val="20"/>
              </w:rPr>
              <w:t>Annual Regulatory Fee</w:t>
            </w:r>
          </w:p>
          <w:p w:rsidR="00706BAB" w:rsidRDefault="00706BAB" w:rsidP="00EE12B4">
            <w:pPr>
              <w:tabs>
                <w:tab w:val="center" w:pos="850"/>
              </w:tabs>
              <w:suppressAutoHyphens/>
              <w:spacing w:after="54"/>
              <w:jc w:val="center"/>
              <w:rPr>
                <w:b/>
                <w:sz w:val="20"/>
              </w:rPr>
            </w:pPr>
            <w:r>
              <w:rPr>
                <w:b/>
                <w:sz w:val="20"/>
              </w:rPr>
              <w:t>(U.S. $'s)</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90" w:after="54"/>
              <w:ind w:left="4680" w:hanging="4680"/>
              <w:rPr>
                <w:sz w:val="20"/>
              </w:rPr>
            </w:pPr>
            <w:r>
              <w:rPr>
                <w:sz w:val="20"/>
              </w:rPr>
              <w:t>PLMRS (per license) (Exclusive Use) (47 CFR part 90)</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 w:val="20"/>
              </w:rPr>
            </w:pPr>
            <w:r>
              <w:rPr>
                <w:sz w:val="20"/>
              </w:rPr>
              <w:t>40</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right" w:pos="3461"/>
                <w:tab w:val="left" w:pos="3600"/>
              </w:tabs>
              <w:suppressAutoHyphens/>
              <w:spacing w:before="90" w:after="54"/>
              <w:ind w:left="4320" w:hanging="4320"/>
              <w:rPr>
                <w:sz w:val="20"/>
              </w:rPr>
            </w:pPr>
            <w:r>
              <w:rPr>
                <w:sz w:val="20"/>
              </w:rPr>
              <w:t>Microwave (per license) (47 CFR part 101)</w:t>
            </w:r>
            <w:r>
              <w:rPr>
                <w:sz w:val="20"/>
              </w:rPr>
              <w:tab/>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right" w:pos="3461"/>
                <w:tab w:val="left" w:pos="3600"/>
              </w:tabs>
              <w:suppressAutoHyphens/>
              <w:spacing w:before="90" w:after="54"/>
              <w:jc w:val="center"/>
              <w:rPr>
                <w:sz w:val="20"/>
              </w:rPr>
            </w:pPr>
            <w:r>
              <w:rPr>
                <w:sz w:val="20"/>
              </w:rPr>
              <w:t>20</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right" w:pos="3461"/>
                <w:tab w:val="left" w:pos="3600"/>
              </w:tabs>
              <w:suppressAutoHyphens/>
              <w:spacing w:before="90" w:after="54"/>
              <w:rPr>
                <w:sz w:val="20"/>
              </w:rPr>
            </w:pPr>
            <w:r>
              <w:rPr>
                <w:sz w:val="20"/>
              </w:rPr>
              <w:t>218-219 MHz (Formerly Interactive Video Data Service) (per license) (47 CFR part 95)</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75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Marine (Ship) (per station) (47 CFR part 80)</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10</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Marine (Coast) (per license) (47 CFR part 80)</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55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General Mobile Radio Service (per license) (47 CFR part 95)</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Rural Radio (47 CFR part 22) (previously listed under the Land Mobile category)</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PLMRS (Shared Use) (per license) (47 CFR part 90)</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Aviation (Aircraft) (per station) (47 CFR part 87)</w:t>
            </w:r>
            <w:r>
              <w:rPr>
                <w:sz w:val="20"/>
              </w:rPr>
              <w:tab/>
            </w:r>
            <w:r>
              <w:rPr>
                <w:sz w:val="20"/>
              </w:rPr>
              <w:tab/>
            </w:r>
            <w:r>
              <w:rPr>
                <w:sz w:val="20"/>
              </w:rPr>
              <w:tab/>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10</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Aviation (Ground) (per license) (47 CFR part 87)</w:t>
            </w:r>
            <w:r>
              <w:rPr>
                <w:sz w:val="20"/>
              </w:rPr>
              <w:tab/>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15</w:t>
            </w:r>
          </w:p>
        </w:tc>
      </w:tr>
      <w:tr w:rsidR="00706BAB" w:rsidTr="00EE12B4">
        <w:tc>
          <w:tcPr>
            <w:tcW w:w="7020" w:type="dxa"/>
            <w:tcBorders>
              <w:top w:val="single" w:sz="8" w:space="0" w:color="auto"/>
              <w:left w:val="double" w:sz="12" w:space="0" w:color="auto"/>
              <w:bottom w:val="single" w:sz="8" w:space="0" w:color="auto"/>
              <w:right w:val="single" w:sz="8" w:space="0" w:color="auto"/>
            </w:tcBorders>
            <w:shd w:val="clear" w:color="auto" w:fill="C0C0C0"/>
          </w:tcPr>
          <w:p w:rsidR="00706BAB" w:rsidRDefault="00706BAB" w:rsidP="00EE12B4">
            <w:pPr>
              <w:tabs>
                <w:tab w:val="left" w:pos="-1440"/>
                <w:tab w:val="left" w:pos="-720"/>
              </w:tabs>
              <w:suppressAutoHyphens/>
              <w:spacing w:before="90" w:after="54"/>
              <w:rPr>
                <w:sz w:val="20"/>
              </w:rPr>
            </w:pPr>
            <w:r>
              <w:rPr>
                <w:sz w:val="20"/>
              </w:rPr>
              <w:t xml:space="preserve">Amateur Vanity Call Signs (per call sign) (47 CFR part 97) </w:t>
            </w:r>
          </w:p>
        </w:tc>
        <w:tc>
          <w:tcPr>
            <w:tcW w:w="1530" w:type="dxa"/>
            <w:tcBorders>
              <w:top w:val="single" w:sz="8" w:space="0" w:color="auto"/>
              <w:left w:val="single" w:sz="8" w:space="0" w:color="auto"/>
              <w:bottom w:val="single" w:sz="8" w:space="0" w:color="auto"/>
              <w:right w:val="double" w:sz="12" w:space="0" w:color="auto"/>
            </w:tcBorders>
            <w:shd w:val="clear" w:color="auto" w:fill="C0C0C0"/>
          </w:tcPr>
          <w:p w:rsidR="00706BAB" w:rsidRDefault="00706BAB" w:rsidP="00EE12B4">
            <w:pPr>
              <w:tabs>
                <w:tab w:val="left" w:pos="-1440"/>
                <w:tab w:val="left" w:pos="-720"/>
              </w:tabs>
              <w:suppressAutoHyphens/>
              <w:spacing w:before="90" w:after="54"/>
              <w:jc w:val="center"/>
              <w:rPr>
                <w:sz w:val="20"/>
              </w:rPr>
            </w:pPr>
            <w:r>
              <w:rPr>
                <w:sz w:val="20"/>
              </w:rPr>
              <w:t>1.61</w:t>
            </w:r>
          </w:p>
        </w:tc>
      </w:tr>
      <w:tr w:rsidR="00706BAB" w:rsidTr="00EE12B4">
        <w:tc>
          <w:tcPr>
            <w:tcW w:w="7020" w:type="dxa"/>
            <w:tcBorders>
              <w:top w:val="single" w:sz="8"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CMRS Mobile/Cellular Services (per unit) (47 CFR parts 20, 22, 24, 27, 80 and 90)</w:t>
            </w:r>
          </w:p>
        </w:tc>
        <w:tc>
          <w:tcPr>
            <w:tcW w:w="1530" w:type="dxa"/>
            <w:tcBorders>
              <w:top w:val="single" w:sz="8"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.18</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CMRS Messaging Services (per unit) (47 CFR parts 20, 22, 24 and 90)</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.08</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Broadband Radio Service (formerly MMDS/ MDS) (per license) (47 CFR part 27)</w:t>
            </w:r>
          </w:p>
          <w:p w:rsidR="00706BAB" w:rsidRDefault="00706BAB" w:rsidP="00EE12B4">
            <w:pPr>
              <w:tabs>
                <w:tab w:val="left" w:pos="-1440"/>
                <w:tab w:val="left" w:pos="-720"/>
              </w:tabs>
              <w:suppressAutoHyphens/>
              <w:spacing w:before="90" w:after="54"/>
              <w:rPr>
                <w:sz w:val="20"/>
              </w:rPr>
            </w:pPr>
            <w:r>
              <w:rPr>
                <w:sz w:val="20"/>
              </w:rPr>
              <w:t>Local Multipoint Distribution Service (per call sign) (47 CFR, part 101)</w:t>
            </w:r>
          </w:p>
          <w:p w:rsidR="00706BAB" w:rsidRDefault="00706BAB" w:rsidP="00EE12B4">
            <w:pPr>
              <w:tabs>
                <w:tab w:val="left" w:pos="-1440"/>
                <w:tab w:val="left" w:pos="-720"/>
              </w:tabs>
              <w:suppressAutoHyphens/>
              <w:spacing w:before="90" w:after="54"/>
              <w:rPr>
                <w:sz w:val="20"/>
              </w:rPr>
            </w:pP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510</w:t>
            </w:r>
          </w:p>
          <w:p w:rsidR="00706BAB" w:rsidRDefault="00706BAB" w:rsidP="00EE12B4">
            <w:pPr>
              <w:tabs>
                <w:tab w:val="left" w:pos="-1440"/>
                <w:tab w:val="left" w:pos="-720"/>
              </w:tabs>
              <w:suppressAutoHyphens/>
              <w:spacing w:before="90" w:after="54"/>
              <w:jc w:val="center"/>
              <w:rPr>
                <w:sz w:val="20"/>
              </w:rPr>
            </w:pPr>
            <w:r>
              <w:rPr>
                <w:sz w:val="20"/>
              </w:rPr>
              <w:t>510</w:t>
            </w:r>
          </w:p>
          <w:p w:rsidR="00706BAB" w:rsidRDefault="00706BAB" w:rsidP="00EE12B4">
            <w:pPr>
              <w:tabs>
                <w:tab w:val="left" w:pos="-1440"/>
                <w:tab w:val="left" w:pos="-720"/>
              </w:tabs>
              <w:suppressAutoHyphens/>
              <w:spacing w:before="90" w:after="54"/>
              <w:jc w:val="center"/>
              <w:rPr>
                <w:sz w:val="20"/>
              </w:rPr>
            </w:pP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AM Radio Construction Permits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590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FM Radio Construction Permits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750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TV (47 CFR part 73) VHF Commercial</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right"/>
              <w:rPr>
                <w:sz w:val="20"/>
              </w:rPr>
            </w:pP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s>
              <w:suppressAutoHyphens/>
              <w:spacing w:before="90" w:after="54"/>
              <w:ind w:left="2160" w:hanging="2160"/>
              <w:rPr>
                <w:sz w:val="20"/>
              </w:rPr>
            </w:pPr>
            <w:r>
              <w:rPr>
                <w:sz w:val="20"/>
              </w:rPr>
              <w:tab/>
              <w:t>Markets 1-10</w:t>
            </w:r>
            <w:r>
              <w:rPr>
                <w:sz w:val="20"/>
              </w:rPr>
              <w:tab/>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86,075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11-25</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78,975</w:t>
            </w:r>
          </w:p>
        </w:tc>
      </w:tr>
      <w:tr w:rsidR="00706BAB" w:rsidTr="00EE12B4">
        <w:tc>
          <w:tcPr>
            <w:tcW w:w="7020" w:type="dxa"/>
            <w:tcBorders>
              <w:top w:val="single" w:sz="2" w:space="0" w:color="auto"/>
              <w:left w:val="double" w:sz="2" w:space="0" w:color="auto"/>
              <w:right w:val="single" w:sz="2"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26-50</w:t>
            </w:r>
          </w:p>
        </w:tc>
        <w:tc>
          <w:tcPr>
            <w:tcW w:w="1530" w:type="dxa"/>
            <w:tcBorders>
              <w:top w:val="single" w:sz="2" w:space="0" w:color="auto"/>
              <w:left w:val="single" w:sz="2" w:space="0" w:color="auto"/>
              <w:right w:val="double" w:sz="2" w:space="0" w:color="auto"/>
            </w:tcBorders>
          </w:tcPr>
          <w:p w:rsidR="00706BAB" w:rsidRDefault="00706BAB" w:rsidP="00EE12B4">
            <w:pPr>
              <w:tabs>
                <w:tab w:val="left" w:pos="-1440"/>
                <w:tab w:val="left" w:pos="-720"/>
              </w:tabs>
              <w:suppressAutoHyphens/>
              <w:spacing w:before="90" w:after="54"/>
              <w:jc w:val="center"/>
              <w:rPr>
                <w:sz w:val="20"/>
              </w:rPr>
            </w:pPr>
            <w:r>
              <w:rPr>
                <w:sz w:val="20"/>
              </w:rPr>
              <w:t>42,775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s>
              <w:suppressAutoHyphens/>
              <w:spacing w:before="90" w:after="54"/>
              <w:ind w:left="2880" w:hanging="2880"/>
              <w:rPr>
                <w:sz w:val="20"/>
              </w:rPr>
            </w:pPr>
            <w:r>
              <w:rPr>
                <w:sz w:val="20"/>
              </w:rPr>
              <w:tab/>
              <w:t>Markets 51-100</w:t>
            </w:r>
            <w:r>
              <w:rPr>
                <w:sz w:val="20"/>
              </w:rPr>
              <w:tab/>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22,475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Remaining Markets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6,250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Construction Permits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6,250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lastRenderedPageBreak/>
              <w:t>TV (47 CFR part 73) UHF Commercial</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right"/>
              <w:rPr>
                <w:sz w:val="20"/>
              </w:rPr>
            </w:pP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1-10</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38,000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11-25</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35,050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26-50</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23,550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Markets 51-100</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13,700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s>
              <w:suppressAutoHyphens/>
              <w:spacing w:before="90" w:after="54"/>
              <w:ind w:left="720" w:hanging="720"/>
              <w:rPr>
                <w:sz w:val="20"/>
              </w:rPr>
            </w:pPr>
            <w:r>
              <w:rPr>
                <w:sz w:val="20"/>
              </w:rPr>
              <w:tab/>
              <w:t>Remaining Markets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3,675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s>
              <w:suppressAutoHyphens/>
              <w:spacing w:before="90" w:after="54"/>
              <w:ind w:left="2880" w:hanging="2880"/>
              <w:rPr>
                <w:sz w:val="20"/>
              </w:rPr>
            </w:pPr>
            <w:r>
              <w:rPr>
                <w:sz w:val="20"/>
              </w:rPr>
              <w:tab/>
              <w:t>Construction Permits</w:t>
            </w:r>
            <w:r>
              <w:rPr>
                <w:sz w:val="20"/>
              </w:rPr>
              <w:tab/>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3,675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 xml:space="preserve">Satellite Television Stations  (All Markets)   </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1,525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Construction Permits – Satellite Television Stations</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960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Low Power TV, Class A TV, TV/FM Translators &amp; Boosters (47 CFR part 74)</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410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s>
              <w:suppressAutoHyphens/>
              <w:spacing w:before="90" w:after="54"/>
              <w:ind w:left="3600" w:hanging="3600"/>
              <w:rPr>
                <w:sz w:val="20"/>
              </w:rPr>
            </w:pPr>
            <w:r>
              <w:rPr>
                <w:sz w:val="20"/>
              </w:rPr>
              <w:t>Broadcast Auxiliaries (47 CFR part 74)</w:t>
            </w:r>
            <w:r>
              <w:rPr>
                <w:sz w:val="20"/>
              </w:rPr>
              <w:tab/>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CARS (47 CFR part 78)</w:t>
            </w:r>
            <w:r>
              <w:rPr>
                <w:sz w:val="20"/>
              </w:rPr>
              <w:tab/>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510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Cable Television Systems (per subscriber) (47 CFR part 76)</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1.02</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Interstate Telecommunication Service Providers (per revenue dollar)</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.00347</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Earth Stations (47 CFR part 25)</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275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Space Stations (per operational station in geostationary orbit) (47 CFR part 25) also includes DBS Service (per operational station)</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jc w:val="center"/>
              <w:rPr>
                <w:sz w:val="20"/>
              </w:rPr>
            </w:pPr>
          </w:p>
          <w:p w:rsidR="00706BAB" w:rsidRDefault="00706BAB" w:rsidP="00EE12B4">
            <w:pPr>
              <w:tabs>
                <w:tab w:val="left" w:pos="-1440"/>
                <w:tab w:val="left" w:pos="-720"/>
              </w:tabs>
              <w:suppressAutoHyphens/>
              <w:spacing w:after="54"/>
              <w:jc w:val="center"/>
              <w:rPr>
                <w:sz w:val="20"/>
              </w:rPr>
            </w:pPr>
            <w:r>
              <w:rPr>
                <w:sz w:val="20"/>
              </w:rPr>
              <w:t>139,100</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Space Stations (per operational system in non-geostationary orbit) (47 CFR part 25)</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149,875</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s>
              <w:suppressAutoHyphens/>
              <w:spacing w:before="90" w:after="54"/>
              <w:rPr>
                <w:sz w:val="20"/>
              </w:rPr>
            </w:pPr>
            <w:r>
              <w:rPr>
                <w:sz w:val="20"/>
              </w:rPr>
              <w:t>International Bearer Circuits - Terrestrial/Satellites (per 64KB circuit)</w:t>
            </w:r>
            <w:r>
              <w:rPr>
                <w:sz w:val="20"/>
                <w:vertAlign w:val="superscript"/>
              </w:rPr>
              <w:t xml:space="preserve"> </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.27</w:t>
            </w:r>
          </w:p>
        </w:tc>
      </w:tr>
      <w:tr w:rsidR="00706BAB" w:rsidTr="00EE12B4">
        <w:tc>
          <w:tcPr>
            <w:tcW w:w="702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320"/>
                <w:tab w:val="left" w:pos="5040"/>
              </w:tabs>
              <w:suppressAutoHyphens/>
              <w:spacing w:before="90" w:after="54"/>
              <w:ind w:left="5760" w:hanging="5760"/>
              <w:rPr>
                <w:sz w:val="20"/>
              </w:rPr>
            </w:pPr>
            <w:r>
              <w:rPr>
                <w:sz w:val="20"/>
              </w:rPr>
              <w:t xml:space="preserve">International Bearer Circuits - Submarine Cable </w:t>
            </w:r>
          </w:p>
        </w:tc>
        <w:tc>
          <w:tcPr>
            <w:tcW w:w="1530" w:type="dxa"/>
            <w:tcBorders>
              <w:top w:val="single" w:sz="6" w:space="0" w:color="auto"/>
              <w:left w:val="single" w:sz="6" w:space="0" w:color="auto"/>
              <w:right w:val="double" w:sz="6" w:space="0" w:color="auto"/>
            </w:tcBorders>
          </w:tcPr>
          <w:p w:rsidR="00706BAB" w:rsidRDefault="00706BAB" w:rsidP="00EE12B4">
            <w:pPr>
              <w:tabs>
                <w:tab w:val="left" w:pos="-1440"/>
                <w:tab w:val="left" w:pos="-720"/>
              </w:tabs>
              <w:suppressAutoHyphens/>
              <w:spacing w:before="90" w:after="54"/>
              <w:jc w:val="center"/>
              <w:rPr>
                <w:sz w:val="20"/>
              </w:rPr>
            </w:pPr>
            <w:r>
              <w:rPr>
                <w:sz w:val="20"/>
              </w:rPr>
              <w:t>See Table Below</w:t>
            </w:r>
          </w:p>
        </w:tc>
      </w:tr>
      <w:tr w:rsidR="00706BAB" w:rsidTr="00EE12B4">
        <w:trPr>
          <w:trHeight w:val="57"/>
        </w:trPr>
        <w:tc>
          <w:tcPr>
            <w:tcW w:w="7020" w:type="dxa"/>
            <w:tcBorders>
              <w:top w:val="single" w:sz="6" w:space="0" w:color="auto"/>
              <w:left w:val="doub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s>
              <w:suppressAutoHyphens/>
              <w:spacing w:before="90" w:after="54"/>
              <w:ind w:left="4320" w:hanging="4320"/>
              <w:rPr>
                <w:sz w:val="20"/>
              </w:rPr>
            </w:pPr>
            <w:r>
              <w:rPr>
                <w:sz w:val="20"/>
              </w:rPr>
              <w:tab/>
            </w:r>
          </w:p>
        </w:tc>
        <w:tc>
          <w:tcPr>
            <w:tcW w:w="1530" w:type="dxa"/>
            <w:tcBorders>
              <w:top w:val="single" w:sz="6" w:space="0" w:color="auto"/>
              <w:left w:val="single" w:sz="6" w:space="0" w:color="auto"/>
              <w:bottom w:val="double" w:sz="6" w:space="0" w:color="auto"/>
              <w:right w:val="double" w:sz="6" w:space="0" w:color="auto"/>
            </w:tcBorders>
          </w:tcPr>
          <w:p w:rsidR="00706BAB" w:rsidRDefault="00706BAB" w:rsidP="00EE12B4">
            <w:pPr>
              <w:tabs>
                <w:tab w:val="center" w:pos="850"/>
              </w:tabs>
              <w:suppressAutoHyphens/>
              <w:spacing w:before="90" w:after="54"/>
              <w:jc w:val="center"/>
              <w:rPr>
                <w:sz w:val="20"/>
              </w:rPr>
            </w:pPr>
          </w:p>
        </w:tc>
      </w:tr>
    </w:tbl>
    <w:p w:rsidR="00706BAB" w:rsidRDefault="00706BAB" w:rsidP="00706BAB">
      <w:pPr>
        <w:spacing w:after="200" w:line="276" w:lineRule="auto"/>
        <w:rPr>
          <w:sz w:val="20"/>
        </w:rPr>
      </w:pP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sz w:val="20"/>
        </w:rPr>
      </w:pPr>
      <w:r>
        <w:rPr>
          <w:sz w:val="20"/>
        </w:rPr>
        <w:t xml:space="preserve"> </w:t>
      </w: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rFonts w:ascii="Times New Roman Bold" w:hAnsi="Times New Roman Bold"/>
          <w:b/>
          <w:szCs w:val="22"/>
        </w:rPr>
      </w:pPr>
      <w:r>
        <w:rPr>
          <w:sz w:val="20"/>
        </w:rPr>
        <w:br w:type="page"/>
      </w:r>
      <w:bookmarkStart w:id="329" w:name="_Toc394672345"/>
      <w:bookmarkStart w:id="330" w:name="_Toc353987749"/>
      <w:bookmarkStart w:id="331" w:name="_Toc353988070"/>
      <w:bookmarkStart w:id="332" w:name="_Toc382499688"/>
      <w:bookmarkStart w:id="333" w:name="_Toc382567948"/>
      <w:bookmarkStart w:id="334" w:name="_Toc382576280"/>
      <w:bookmarkStart w:id="335" w:name="_Toc384227085"/>
      <w:r>
        <w:rPr>
          <w:b/>
          <w:szCs w:val="22"/>
        </w:rPr>
        <w:lastRenderedPageBreak/>
        <w:t>FY 2013 SCHEDULE OF REGULATORY FEES:</w:t>
      </w:r>
      <w:bookmarkEnd w:id="329"/>
      <w:r>
        <w:rPr>
          <w:b/>
          <w:szCs w:val="22"/>
        </w:rPr>
        <w:t xml:space="preserve"> </w:t>
      </w:r>
      <w:bookmarkStart w:id="336" w:name="_Toc353870723"/>
      <w:bookmarkStart w:id="337" w:name="_Toc353987750"/>
      <w:bookmarkStart w:id="338" w:name="_Toc353988071"/>
      <w:bookmarkEnd w:id="330"/>
      <w:bookmarkEnd w:id="331"/>
      <w:bookmarkEnd w:id="332"/>
      <w:bookmarkEnd w:id="333"/>
      <w:bookmarkEnd w:id="334"/>
      <w:bookmarkEnd w:id="335"/>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rFonts w:ascii="Times New Roman Bold" w:hAnsi="Times New Roman Bold"/>
          <w:b/>
          <w:szCs w:val="22"/>
        </w:rPr>
      </w:pPr>
      <w:bookmarkStart w:id="339" w:name="_Toc382499689"/>
      <w:bookmarkStart w:id="340" w:name="_Toc382567949"/>
      <w:bookmarkStart w:id="341" w:name="_Toc382576281"/>
      <w:bookmarkStart w:id="342" w:name="_Toc384227086"/>
      <w:bookmarkStart w:id="343" w:name="_Toc394672346"/>
      <w:r>
        <w:rPr>
          <w:rFonts w:ascii="Times New Roman Bold" w:hAnsi="Times New Roman Bold"/>
          <w:b/>
          <w:szCs w:val="22"/>
        </w:rPr>
        <w:t>(continued)</w:t>
      </w:r>
      <w:bookmarkEnd w:id="336"/>
      <w:bookmarkEnd w:id="337"/>
      <w:bookmarkEnd w:id="338"/>
      <w:bookmarkEnd w:id="339"/>
      <w:bookmarkEnd w:id="340"/>
      <w:bookmarkEnd w:id="341"/>
      <w:bookmarkEnd w:id="342"/>
      <w:bookmarkEnd w:id="343"/>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ind w:left="450"/>
        <w:rPr>
          <w:b/>
          <w:sz w:val="20"/>
        </w:rPr>
      </w:pPr>
    </w:p>
    <w:tbl>
      <w:tblPr>
        <w:tblW w:w="8550" w:type="dxa"/>
        <w:tblInd w:w="152" w:type="dxa"/>
        <w:tblLayout w:type="fixed"/>
        <w:tblCellMar>
          <w:left w:w="62" w:type="dxa"/>
          <w:right w:w="62" w:type="dxa"/>
        </w:tblCellMar>
        <w:tblLook w:val="0000"/>
      </w:tblPr>
      <w:tblGrid>
        <w:gridCol w:w="1890"/>
        <w:gridCol w:w="1080"/>
        <w:gridCol w:w="990"/>
        <w:gridCol w:w="900"/>
        <w:gridCol w:w="900"/>
        <w:gridCol w:w="1440"/>
        <w:gridCol w:w="1350"/>
      </w:tblGrid>
      <w:tr w:rsidR="00706BAB" w:rsidTr="00EE12B4">
        <w:tc>
          <w:tcPr>
            <w:tcW w:w="8550" w:type="dxa"/>
            <w:gridSpan w:val="7"/>
            <w:tcBorders>
              <w:top w:val="double" w:sz="6" w:space="0" w:color="auto"/>
              <w:left w:val="doub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 xml:space="preserve">FY 2013 </w:t>
            </w:r>
            <w:r w:rsidR="001A7F66">
              <w:rPr>
                <w:b/>
                <w:sz w:val="20"/>
              </w:rPr>
              <w:fldChar w:fldCharType="begin"/>
            </w:r>
            <w:r>
              <w:rPr>
                <w:b/>
                <w:sz w:val="20"/>
              </w:rPr>
              <w:instrText xml:space="preserve">PRIVATE </w:instrText>
            </w:r>
            <w:r w:rsidR="001A7F66">
              <w:rPr>
                <w:b/>
                <w:sz w:val="20"/>
              </w:rPr>
              <w:fldChar w:fldCharType="end"/>
            </w:r>
            <w:r>
              <w:rPr>
                <w:b/>
                <w:sz w:val="20"/>
              </w:rPr>
              <w:t>RADIO STATION REGULATORY FEES</w:t>
            </w:r>
          </w:p>
        </w:tc>
      </w:tr>
      <w:tr w:rsidR="00706BAB" w:rsidRPr="00445C3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rPr>
            </w:pPr>
            <w:r>
              <w:rPr>
                <w:b/>
                <w:sz w:val="20"/>
              </w:rPr>
              <w:t xml:space="preserve">Population </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rPr>
            </w:pPr>
            <w:r>
              <w:rPr>
                <w:b/>
                <w:sz w:val="20"/>
              </w:rPr>
              <w:t>Served</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A</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B</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C</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center"/>
              <w:rPr>
                <w:b/>
                <w:sz w:val="20"/>
              </w:rPr>
            </w:pPr>
            <w:r>
              <w:rPr>
                <w:b/>
                <w:sz w:val="20"/>
              </w:rPr>
              <w:t>AM Class D</w:t>
            </w:r>
          </w:p>
        </w:tc>
        <w:tc>
          <w:tcPr>
            <w:tcW w:w="1440" w:type="dxa"/>
            <w:tcBorders>
              <w:top w:val="single" w:sz="6" w:space="0" w:color="auto"/>
              <w:left w:val="single" w:sz="6" w:space="0" w:color="auto"/>
            </w:tcBorders>
          </w:tcPr>
          <w:p w:rsidR="00706BAB" w:rsidRPr="00445C3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lang w:val="pt-BR"/>
              </w:rPr>
            </w:pPr>
            <w:r w:rsidRPr="00445C3B">
              <w:rPr>
                <w:b/>
                <w:sz w:val="20"/>
                <w:lang w:val="pt-BR"/>
              </w:rPr>
              <w:t>FM Classes</w:t>
            </w:r>
          </w:p>
          <w:p w:rsidR="00706BAB" w:rsidRPr="00445C3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lang w:val="pt-BR"/>
              </w:rPr>
            </w:pPr>
            <w:r w:rsidRPr="00445C3B">
              <w:rPr>
                <w:b/>
                <w:sz w:val="20"/>
                <w:lang w:val="pt-BR"/>
              </w:rPr>
              <w:t>A, B1 &amp; C3</w:t>
            </w:r>
          </w:p>
        </w:tc>
        <w:tc>
          <w:tcPr>
            <w:tcW w:w="1350" w:type="dxa"/>
            <w:tcBorders>
              <w:top w:val="single" w:sz="6" w:space="0" w:color="auto"/>
              <w:left w:val="single" w:sz="6" w:space="0" w:color="auto"/>
              <w:right w:val="double" w:sz="6" w:space="0" w:color="auto"/>
            </w:tcBorders>
          </w:tcPr>
          <w:p w:rsidR="00706BAB" w:rsidRPr="00445C3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jc w:val="center"/>
              <w:rPr>
                <w:b/>
                <w:sz w:val="20"/>
                <w:lang w:val="pt-BR"/>
              </w:rPr>
            </w:pPr>
            <w:r w:rsidRPr="00445C3B">
              <w:rPr>
                <w:b/>
                <w:sz w:val="20"/>
                <w:lang w:val="pt-BR"/>
              </w:rPr>
              <w:t>FM Classes</w:t>
            </w:r>
          </w:p>
          <w:p w:rsidR="00706BAB" w:rsidRPr="00445C3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after="104"/>
              <w:jc w:val="center"/>
              <w:rPr>
                <w:b/>
                <w:sz w:val="20"/>
                <w:lang w:val="pt-BR"/>
              </w:rPr>
            </w:pPr>
            <w:r w:rsidRPr="00445C3B">
              <w:rPr>
                <w:b/>
                <w:sz w:val="20"/>
                <w:lang w:val="pt-BR"/>
              </w:rPr>
              <w:t>B, C, C0, C1 &amp; C2</w:t>
            </w:r>
          </w:p>
        </w:tc>
      </w:tr>
      <w:tr w:rsidR="00706BA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&lt;=25,000</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$775</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$645</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$590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$670</w:t>
            </w:r>
          </w:p>
        </w:tc>
        <w:tc>
          <w:tcPr>
            <w:tcW w:w="144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$750</w:t>
            </w:r>
          </w:p>
        </w:tc>
        <w:tc>
          <w:tcPr>
            <w:tcW w:w="1350" w:type="dxa"/>
            <w:tcBorders>
              <w:top w:val="single" w:sz="6" w:space="0" w:color="auto"/>
              <w:left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$925</w:t>
            </w:r>
          </w:p>
        </w:tc>
      </w:tr>
      <w:tr w:rsidR="00706BA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25,001 – 75,000</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$1,550</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$1,300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$900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$1,000</w:t>
            </w:r>
          </w:p>
        </w:tc>
        <w:tc>
          <w:tcPr>
            <w:tcW w:w="144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$1,500</w:t>
            </w:r>
          </w:p>
        </w:tc>
        <w:tc>
          <w:tcPr>
            <w:tcW w:w="1350" w:type="dxa"/>
            <w:tcBorders>
              <w:top w:val="single" w:sz="6" w:space="0" w:color="auto"/>
              <w:left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$1,625</w:t>
            </w:r>
          </w:p>
        </w:tc>
      </w:tr>
      <w:tr w:rsidR="00706BA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75,001 – 150,000</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$2,325</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$1,625</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$1,200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$1,675</w:t>
            </w:r>
          </w:p>
        </w:tc>
        <w:tc>
          <w:tcPr>
            <w:tcW w:w="144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$2,050</w:t>
            </w:r>
          </w:p>
        </w:tc>
        <w:tc>
          <w:tcPr>
            <w:tcW w:w="1350" w:type="dxa"/>
            <w:tcBorders>
              <w:top w:val="single" w:sz="6" w:space="0" w:color="auto"/>
              <w:left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$3,000</w:t>
            </w:r>
          </w:p>
        </w:tc>
      </w:tr>
      <w:tr w:rsidR="00706BA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150,001 – 500,000</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$3,475</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$2,750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$1,800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$2,025</w:t>
            </w:r>
          </w:p>
        </w:tc>
        <w:tc>
          <w:tcPr>
            <w:tcW w:w="144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$3,175</w:t>
            </w:r>
          </w:p>
        </w:tc>
        <w:tc>
          <w:tcPr>
            <w:tcW w:w="1350" w:type="dxa"/>
            <w:tcBorders>
              <w:top w:val="single" w:sz="6" w:space="0" w:color="auto"/>
              <w:left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$3,925</w:t>
            </w:r>
          </w:p>
        </w:tc>
      </w:tr>
      <w:tr w:rsidR="00706BAB" w:rsidTr="00EE12B4">
        <w:tc>
          <w:tcPr>
            <w:tcW w:w="1890" w:type="dxa"/>
            <w:tcBorders>
              <w:top w:val="single" w:sz="6" w:space="0" w:color="auto"/>
              <w:lef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500,001 – 1,200,000</w:t>
            </w:r>
          </w:p>
        </w:tc>
        <w:tc>
          <w:tcPr>
            <w:tcW w:w="108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$5,025</w:t>
            </w:r>
          </w:p>
        </w:tc>
        <w:tc>
          <w:tcPr>
            <w:tcW w:w="99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$4,225</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$3,000</w:t>
            </w:r>
          </w:p>
        </w:tc>
        <w:tc>
          <w:tcPr>
            <w:tcW w:w="90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$3,375</w:t>
            </w:r>
          </w:p>
        </w:tc>
        <w:tc>
          <w:tcPr>
            <w:tcW w:w="1440" w:type="dxa"/>
            <w:tcBorders>
              <w:top w:val="single" w:sz="6" w:space="0" w:color="auto"/>
              <w:left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$5,050</w:t>
            </w:r>
          </w:p>
        </w:tc>
        <w:tc>
          <w:tcPr>
            <w:tcW w:w="1350" w:type="dxa"/>
            <w:tcBorders>
              <w:top w:val="single" w:sz="6" w:space="0" w:color="auto"/>
              <w:left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$5,775</w:t>
            </w:r>
          </w:p>
        </w:tc>
      </w:tr>
      <w:tr w:rsidR="00706BAB" w:rsidTr="00EE12B4">
        <w:trPr>
          <w:trHeight w:val="361"/>
        </w:trPr>
        <w:tc>
          <w:tcPr>
            <w:tcW w:w="1890" w:type="dxa"/>
            <w:tcBorders>
              <w:top w:val="single" w:sz="6" w:space="0" w:color="auto"/>
              <w:left w:val="doub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1,200,001 – 3,000,00</w:t>
            </w:r>
          </w:p>
        </w:tc>
        <w:tc>
          <w:tcPr>
            <w:tcW w:w="1080" w:type="dxa"/>
            <w:tcBorders>
              <w:top w:val="single" w:sz="6" w:space="0" w:color="auto"/>
              <w:left w:val="sing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$7,750</w:t>
            </w:r>
          </w:p>
        </w:tc>
        <w:tc>
          <w:tcPr>
            <w:tcW w:w="990" w:type="dxa"/>
            <w:tcBorders>
              <w:top w:val="single" w:sz="6" w:space="0" w:color="auto"/>
              <w:left w:val="sing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$6,500</w:t>
            </w:r>
          </w:p>
        </w:tc>
        <w:tc>
          <w:tcPr>
            <w:tcW w:w="900" w:type="dxa"/>
            <w:tcBorders>
              <w:top w:val="single" w:sz="6" w:space="0" w:color="auto"/>
              <w:left w:val="sing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$4,500</w:t>
            </w:r>
          </w:p>
        </w:tc>
        <w:tc>
          <w:tcPr>
            <w:tcW w:w="900" w:type="dxa"/>
            <w:tcBorders>
              <w:top w:val="single" w:sz="6" w:space="0" w:color="auto"/>
              <w:left w:val="sing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$5,400</w:t>
            </w:r>
          </w:p>
        </w:tc>
        <w:tc>
          <w:tcPr>
            <w:tcW w:w="1440" w:type="dxa"/>
            <w:tcBorders>
              <w:top w:val="single" w:sz="6" w:space="0" w:color="auto"/>
              <w:left w:val="single" w:sz="6" w:space="0" w:color="auto"/>
              <w:bottom w:val="sing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$8,250</w:t>
            </w:r>
          </w:p>
        </w:tc>
        <w:tc>
          <w:tcPr>
            <w:tcW w:w="1350" w:type="dxa"/>
            <w:tcBorders>
              <w:top w:val="single" w:sz="6" w:space="0" w:color="auto"/>
              <w:left w:val="single" w:sz="6" w:space="0" w:color="auto"/>
              <w:bottom w:val="sing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$9,250</w:t>
            </w:r>
          </w:p>
        </w:tc>
      </w:tr>
      <w:tr w:rsidR="00706BAB" w:rsidTr="00EE12B4">
        <w:tc>
          <w:tcPr>
            <w:tcW w:w="1890" w:type="dxa"/>
            <w:tcBorders>
              <w:top w:val="single" w:sz="6" w:space="0" w:color="auto"/>
              <w:left w:val="doub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rPr>
                <w:b/>
                <w:sz w:val="20"/>
              </w:rPr>
            </w:pPr>
            <w:r>
              <w:rPr>
                <w:b/>
                <w:sz w:val="20"/>
              </w:rPr>
              <w:t>&gt;3,000,000</w:t>
            </w:r>
          </w:p>
        </w:tc>
        <w:tc>
          <w:tcPr>
            <w:tcW w:w="1080" w:type="dxa"/>
            <w:tcBorders>
              <w:top w:val="single" w:sz="6" w:space="0" w:color="auto"/>
              <w:left w:val="sing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$9,300</w:t>
            </w:r>
          </w:p>
        </w:tc>
        <w:tc>
          <w:tcPr>
            <w:tcW w:w="990" w:type="dxa"/>
            <w:tcBorders>
              <w:top w:val="single" w:sz="6" w:space="0" w:color="auto"/>
              <w:left w:val="sing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$7,800</w:t>
            </w:r>
          </w:p>
        </w:tc>
        <w:tc>
          <w:tcPr>
            <w:tcW w:w="900" w:type="dxa"/>
            <w:tcBorders>
              <w:top w:val="single" w:sz="6" w:space="0" w:color="auto"/>
              <w:left w:val="sing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$5,700</w:t>
            </w:r>
          </w:p>
        </w:tc>
        <w:tc>
          <w:tcPr>
            <w:tcW w:w="900" w:type="dxa"/>
            <w:tcBorders>
              <w:top w:val="single" w:sz="6" w:space="0" w:color="auto"/>
              <w:left w:val="sing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$6,750</w:t>
            </w:r>
          </w:p>
        </w:tc>
        <w:tc>
          <w:tcPr>
            <w:tcW w:w="1440" w:type="dxa"/>
            <w:tcBorders>
              <w:top w:val="single" w:sz="6" w:space="0" w:color="auto"/>
              <w:left w:val="single" w:sz="6" w:space="0" w:color="auto"/>
              <w:bottom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$10,500</w:t>
            </w:r>
          </w:p>
        </w:tc>
        <w:tc>
          <w:tcPr>
            <w:tcW w:w="1350" w:type="dxa"/>
            <w:tcBorders>
              <w:top w:val="single" w:sz="6" w:space="0" w:color="auto"/>
              <w:left w:val="single" w:sz="6" w:space="0" w:color="auto"/>
              <w:bottom w:val="double" w:sz="6" w:space="0" w:color="auto"/>
              <w:right w:val="double" w:sz="6" w:space="0" w:color="auto"/>
            </w:tcBorders>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spacing w:before="42" w:after="104"/>
              <w:jc w:val="right"/>
              <w:rPr>
                <w:sz w:val="20"/>
              </w:rPr>
            </w:pPr>
            <w:r>
              <w:rPr>
                <w:sz w:val="20"/>
              </w:rPr>
              <w:t>$12,025</w:t>
            </w:r>
          </w:p>
        </w:tc>
      </w:tr>
    </w:tbl>
    <w:p w:rsidR="00706BAB" w:rsidRDefault="00706BAB" w:rsidP="00706BAB">
      <w:pPr>
        <w:tabs>
          <w:tab w:val="right" w:pos="10080"/>
        </w:tabs>
        <w:suppressAutoHyphens/>
        <w:ind w:left="450"/>
        <w:jc w:val="center"/>
        <w:outlineLvl w:val="0"/>
        <w:rPr>
          <w:b/>
          <w:szCs w:val="22"/>
        </w:rPr>
      </w:pP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b/>
        </w:rPr>
      </w:pPr>
      <w:bookmarkStart w:id="344" w:name="_Toc382499690"/>
      <w:bookmarkStart w:id="345" w:name="_Toc382567950"/>
      <w:bookmarkStart w:id="346" w:name="_Toc382576282"/>
      <w:bookmarkStart w:id="347" w:name="_Toc384227087"/>
      <w:bookmarkStart w:id="348" w:name="_Toc394672347"/>
      <w:bookmarkStart w:id="349" w:name="_Toc353870724"/>
      <w:bookmarkStart w:id="350" w:name="_Toc353987751"/>
      <w:bookmarkStart w:id="351" w:name="_Toc353988072"/>
      <w:r>
        <w:rPr>
          <w:b/>
          <w:szCs w:val="22"/>
        </w:rPr>
        <w:t xml:space="preserve">FY 2013 SCHEDULE OF REGULATORY FEES: </w:t>
      </w:r>
      <w:r>
        <w:rPr>
          <w:b/>
        </w:rPr>
        <w:t>Fee Rate Increases</w:t>
      </w:r>
      <w:bookmarkStart w:id="352" w:name="_Toc382499691"/>
      <w:bookmarkStart w:id="353" w:name="_Toc382567951"/>
      <w:bookmarkStart w:id="354" w:name="_Toc382576283"/>
      <w:bookmarkStart w:id="355" w:name="_Toc384227088"/>
      <w:bookmarkEnd w:id="344"/>
      <w:bookmarkEnd w:id="345"/>
      <w:bookmarkEnd w:id="346"/>
      <w:bookmarkEnd w:id="347"/>
      <w:r>
        <w:rPr>
          <w:b/>
        </w:rPr>
        <w:t xml:space="preserve"> Capped at 7.5%</w:t>
      </w:r>
      <w:bookmarkEnd w:id="348"/>
      <w:bookmarkEnd w:id="352"/>
      <w:bookmarkEnd w:id="353"/>
      <w:bookmarkEnd w:id="354"/>
      <w:bookmarkEnd w:id="355"/>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outlineLvl w:val="0"/>
        <w:rPr>
          <w:b/>
          <w:szCs w:val="22"/>
        </w:rPr>
      </w:pPr>
    </w:p>
    <w:p w:rsidR="00706BAB" w:rsidRDefault="00706BAB" w:rsidP="00706BAB">
      <w:pPr>
        <w:tabs>
          <w:tab w:val="right" w:pos="10080"/>
        </w:tabs>
        <w:suppressAutoHyphens/>
        <w:ind w:left="450"/>
        <w:jc w:val="center"/>
        <w:outlineLvl w:val="0"/>
        <w:rPr>
          <w:b/>
          <w:szCs w:val="22"/>
        </w:rPr>
      </w:pPr>
      <w:bookmarkStart w:id="356" w:name="_Toc382499692"/>
      <w:bookmarkStart w:id="357" w:name="_Toc382567952"/>
      <w:bookmarkStart w:id="358" w:name="_Toc382576284"/>
      <w:bookmarkStart w:id="359" w:name="_Toc384227089"/>
      <w:bookmarkStart w:id="360" w:name="_Toc394672348"/>
      <w:r>
        <w:rPr>
          <w:b/>
          <w:szCs w:val="22"/>
        </w:rPr>
        <w:t>International Bearer Circuits - Submarine Cable</w:t>
      </w:r>
      <w:bookmarkEnd w:id="356"/>
      <w:bookmarkEnd w:id="357"/>
      <w:bookmarkEnd w:id="358"/>
      <w:bookmarkEnd w:id="359"/>
      <w:bookmarkEnd w:id="360"/>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706BAB" w:rsidTr="00EE12B4">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pacing w:val="-3"/>
                <w:szCs w:val="22"/>
              </w:rPr>
              <w:t>Submarine Cable Systems</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 w:val="20"/>
              </w:rPr>
            </w:pPr>
            <w:r>
              <w:rPr>
                <w:sz w:val="20"/>
              </w:rPr>
              <w:t>(capacity as of December 31, 2012)</w:t>
            </w:r>
          </w:p>
        </w:tc>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spacing w:val="-3"/>
                <w:szCs w:val="22"/>
              </w:rPr>
              <w:t>Fee amount</w:t>
            </w:r>
          </w:p>
        </w:tc>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spacing w:val="-3"/>
                <w:szCs w:val="22"/>
              </w:rPr>
              <w:t>Address</w:t>
            </w:r>
          </w:p>
        </w:tc>
      </w:tr>
      <w:tr w:rsidR="00706BAB" w:rsidTr="00EE12B4">
        <w:trPr>
          <w:trHeight w:val="1034"/>
        </w:trPr>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zCs w:val="22"/>
              </w:rPr>
            </w:pP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b/>
                <w:spacing w:val="-3"/>
                <w:szCs w:val="22"/>
              </w:rPr>
            </w:pPr>
            <w:r>
              <w:rPr>
                <w:b/>
                <w:szCs w:val="22"/>
              </w:rPr>
              <w:t>&lt; 2.5 Gbps</w:t>
            </w:r>
          </w:p>
        </w:tc>
        <w:tc>
          <w:tcPr>
            <w:tcW w:w="3192" w:type="dxa"/>
            <w:vAlign w:val="center"/>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r>
              <w:rPr>
                <w:bCs/>
                <w:szCs w:val="22"/>
              </w:rPr>
              <w:t>$13,600</w:t>
            </w:r>
          </w:p>
        </w:tc>
        <w:tc>
          <w:tcPr>
            <w:tcW w:w="3192" w:type="dxa"/>
          </w:tcPr>
          <w:p w:rsidR="00706BAB" w:rsidRDefault="00706BAB" w:rsidP="00EE12B4">
            <w:pPr>
              <w:rPr>
                <w:szCs w:val="22"/>
              </w:rPr>
            </w:pPr>
            <w:r>
              <w:rPr>
                <w:szCs w:val="22"/>
              </w:rPr>
              <w:t>FCC, International, P.O. Box 979084, St. Louis, MO 63197-9000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tc>
      </w:tr>
      <w:tr w:rsidR="00706BAB" w:rsidTr="00EE12B4">
        <w:trPr>
          <w:trHeight w:val="1034"/>
        </w:trPr>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r>
              <w:rPr>
                <w:b/>
                <w:szCs w:val="22"/>
              </w:rPr>
              <w:t>2.5 Gbps or greater, but less than 5 Gbps</w:t>
            </w:r>
          </w:p>
        </w:tc>
        <w:tc>
          <w:tcPr>
            <w:tcW w:w="3192" w:type="dxa"/>
            <w:vAlign w:val="center"/>
          </w:tcPr>
          <w:p w:rsidR="00706BAB" w:rsidRDefault="00706BAB" w:rsidP="00EE12B4">
            <w:pPr>
              <w:jc w:val="center"/>
              <w:rPr>
                <w:bCs/>
                <w:szCs w:val="22"/>
              </w:rPr>
            </w:pPr>
            <w:r>
              <w:rPr>
                <w:bCs/>
                <w:szCs w:val="22"/>
              </w:rPr>
              <w:t>$27,200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706BAB" w:rsidRDefault="00706BAB" w:rsidP="00EE12B4">
            <w:pPr>
              <w:rPr>
                <w:szCs w:val="22"/>
              </w:rPr>
            </w:pPr>
            <w:r>
              <w:rPr>
                <w:szCs w:val="22"/>
              </w:rPr>
              <w:t>FCC, International, P.O. Box 979084, St. Louis, MO 63197-9000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706BAB" w:rsidTr="00EE12B4">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r>
              <w:rPr>
                <w:b/>
                <w:szCs w:val="22"/>
              </w:rPr>
              <w:t>5 Gbps or greater, but less than 10 Gbps</w:t>
            </w:r>
          </w:p>
        </w:tc>
        <w:tc>
          <w:tcPr>
            <w:tcW w:w="3192" w:type="dxa"/>
            <w:vAlign w:val="center"/>
          </w:tcPr>
          <w:p w:rsidR="00706BAB" w:rsidRDefault="00706BAB" w:rsidP="00EE12B4">
            <w:pPr>
              <w:jc w:val="center"/>
              <w:rPr>
                <w:bCs/>
                <w:szCs w:val="22"/>
              </w:rPr>
            </w:pPr>
            <w:r>
              <w:rPr>
                <w:bCs/>
                <w:szCs w:val="22"/>
              </w:rPr>
              <w:t xml:space="preserve">$54,425 </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706BAB" w:rsidRDefault="00706BAB" w:rsidP="00EE12B4">
            <w:pPr>
              <w:rPr>
                <w:szCs w:val="22"/>
              </w:rPr>
            </w:pPr>
            <w:r>
              <w:rPr>
                <w:szCs w:val="22"/>
              </w:rPr>
              <w:t>FCC, International, P.O. Box 979084, St. Louis, MO 63197-9000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706BAB" w:rsidTr="00EE12B4">
        <w:trPr>
          <w:trHeight w:val="998"/>
        </w:trPr>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r>
              <w:rPr>
                <w:b/>
                <w:szCs w:val="22"/>
              </w:rPr>
              <w:t>10 Gbps or greater, but less than 20 Gbps</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pacing w:val="-3"/>
                <w:szCs w:val="22"/>
              </w:rPr>
            </w:pPr>
          </w:p>
        </w:tc>
        <w:tc>
          <w:tcPr>
            <w:tcW w:w="3192" w:type="dxa"/>
            <w:vAlign w:val="center"/>
          </w:tcPr>
          <w:p w:rsidR="00706BAB" w:rsidRDefault="00706BAB" w:rsidP="00EE12B4">
            <w:pPr>
              <w:jc w:val="center"/>
              <w:rPr>
                <w:bCs/>
                <w:szCs w:val="22"/>
              </w:rPr>
            </w:pPr>
            <w:r>
              <w:rPr>
                <w:bCs/>
                <w:szCs w:val="22"/>
              </w:rPr>
              <w:t xml:space="preserve">$108,850 </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center"/>
              <w:rPr>
                <w:spacing w:val="-3"/>
                <w:szCs w:val="22"/>
              </w:rPr>
            </w:pPr>
          </w:p>
        </w:tc>
        <w:tc>
          <w:tcPr>
            <w:tcW w:w="3192" w:type="dxa"/>
          </w:tcPr>
          <w:p w:rsidR="00706BAB" w:rsidRDefault="00706BAB" w:rsidP="00EE12B4">
            <w:pPr>
              <w:rPr>
                <w:spacing w:val="-3"/>
                <w:szCs w:val="22"/>
              </w:rPr>
            </w:pPr>
            <w:r>
              <w:rPr>
                <w:szCs w:val="22"/>
              </w:rPr>
              <w:t>FCC, International, P.O. Box 979084, St. Louis, MO 63197-9000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p>
        </w:tc>
      </w:tr>
      <w:tr w:rsidR="00706BAB" w:rsidTr="00EE12B4">
        <w:trPr>
          <w:trHeight w:val="998"/>
        </w:trPr>
        <w:tc>
          <w:tcPr>
            <w:tcW w:w="3192" w:type="dxa"/>
          </w:tcPr>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r>
              <w:rPr>
                <w:b/>
                <w:szCs w:val="22"/>
              </w:rPr>
              <w:t>20 Gbps or greater</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b/>
                <w:szCs w:val="22"/>
              </w:rPr>
            </w:pPr>
          </w:p>
        </w:tc>
        <w:tc>
          <w:tcPr>
            <w:tcW w:w="3192" w:type="dxa"/>
            <w:vAlign w:val="center"/>
          </w:tcPr>
          <w:p w:rsidR="00706BAB" w:rsidRDefault="00706BAB" w:rsidP="00EE12B4">
            <w:pPr>
              <w:jc w:val="center"/>
            </w:pPr>
            <w:r>
              <w:rPr>
                <w:bCs/>
                <w:szCs w:val="22"/>
              </w:rPr>
              <w:t>$217,675</w:t>
            </w:r>
          </w:p>
        </w:tc>
        <w:tc>
          <w:tcPr>
            <w:tcW w:w="3192" w:type="dxa"/>
          </w:tcPr>
          <w:p w:rsidR="00706BAB" w:rsidRDefault="00706BAB" w:rsidP="00EE12B4">
            <w:pPr>
              <w:rPr>
                <w:spacing w:val="-3"/>
              </w:rPr>
            </w:pPr>
            <w:r>
              <w:rPr>
                <w:szCs w:val="22"/>
              </w:rPr>
              <w:t>FCC, International, P.O. Box 979084, St. Louis, MO 63197-9000</w:t>
            </w:r>
          </w:p>
          <w:p w:rsidR="00706BAB" w:rsidRDefault="00706BAB" w:rsidP="00EE12B4">
            <w:pPr>
              <w:tabs>
                <w:tab w:val="left" w:pos="-1440"/>
                <w:tab w:val="left" w:pos="-720"/>
                <w:tab w:val="left" w:pos="0"/>
                <w:tab w:val="left" w:pos="720"/>
                <w:tab w:val="left" w:pos="1440"/>
                <w:tab w:val="left" w:pos="2160"/>
                <w:tab w:val="left" w:pos="2880"/>
                <w:tab w:val="left" w:pos="3600"/>
                <w:tab w:val="left" w:pos="4680"/>
                <w:tab w:val="left" w:pos="5040"/>
              </w:tabs>
              <w:suppressAutoHyphens/>
              <w:rPr>
                <w:spacing w:val="-3"/>
                <w:szCs w:val="22"/>
              </w:rPr>
            </w:pPr>
          </w:p>
        </w:tc>
      </w:tr>
      <w:bookmarkEnd w:id="349"/>
      <w:bookmarkEnd w:id="350"/>
      <w:bookmarkEnd w:id="351"/>
    </w:tbl>
    <w:p w:rsidR="00706BAB" w:rsidRDefault="00706BAB" w:rsidP="00706BAB"/>
    <w:p w:rsidR="002413D4" w:rsidRDefault="002413D4" w:rsidP="00706BAB">
      <w:pPr>
        <w:rPr>
          <w:spacing w:val="-2"/>
          <w:szCs w:val="22"/>
        </w:rPr>
        <w:sectPr w:rsidR="002413D4" w:rsidSect="00DD2A3A">
          <w:footnotePr>
            <w:numRestart w:val="eachSect"/>
          </w:footnotePr>
          <w:pgSz w:w="12240" w:h="15840"/>
          <w:pgMar w:top="1092" w:right="1440" w:bottom="720" w:left="1440" w:header="720" w:footer="720" w:gutter="0"/>
          <w:cols w:space="720"/>
          <w:titlePg/>
          <w:docGrid w:linePitch="299"/>
        </w:sectPr>
      </w:pPr>
    </w:p>
    <w:p w:rsidR="00706BAB" w:rsidRDefault="00706BAB" w:rsidP="00706BAB">
      <w:pPr>
        <w:rPr>
          <w:spacing w:val="-2"/>
          <w:szCs w:val="22"/>
        </w:rPr>
      </w:pPr>
    </w:p>
    <w:p w:rsidR="00706BAB" w:rsidRDefault="005261EC" w:rsidP="00706BAB">
      <w:pPr>
        <w:pStyle w:val="EndnoteText"/>
        <w:jc w:val="center"/>
        <w:rPr>
          <w:b/>
          <w:sz w:val="22"/>
          <w:szCs w:val="22"/>
        </w:rPr>
      </w:pPr>
      <w:r>
        <w:rPr>
          <w:b/>
          <w:sz w:val="22"/>
          <w:szCs w:val="22"/>
        </w:rPr>
        <w:t>APPENDIX</w:t>
      </w:r>
      <w:r w:rsidR="00706BAB">
        <w:rPr>
          <w:b/>
          <w:sz w:val="22"/>
          <w:szCs w:val="22"/>
        </w:rPr>
        <w:t xml:space="preserve"> </w:t>
      </w:r>
      <w:r w:rsidR="004B03E3">
        <w:rPr>
          <w:b/>
          <w:sz w:val="22"/>
          <w:szCs w:val="22"/>
        </w:rPr>
        <w:t>I</w:t>
      </w:r>
    </w:p>
    <w:p w:rsidR="00706BAB" w:rsidRDefault="00706BAB" w:rsidP="00706BAB">
      <w:pPr>
        <w:pStyle w:val="EndnoteText"/>
        <w:jc w:val="center"/>
        <w:rPr>
          <w:b/>
          <w:sz w:val="22"/>
          <w:szCs w:val="22"/>
        </w:rPr>
      </w:pPr>
    </w:p>
    <w:p w:rsidR="00706BAB" w:rsidRDefault="00706BAB" w:rsidP="00706BAB">
      <w:pPr>
        <w:pStyle w:val="EndnoteText"/>
        <w:jc w:val="center"/>
        <w:rPr>
          <w:b/>
          <w:sz w:val="22"/>
          <w:szCs w:val="22"/>
        </w:rPr>
      </w:pPr>
      <w:r>
        <w:rPr>
          <w:b/>
          <w:sz w:val="22"/>
          <w:szCs w:val="22"/>
        </w:rPr>
        <w:t>Rule Changes</w:t>
      </w:r>
    </w:p>
    <w:p w:rsidR="00706BAB" w:rsidRDefault="00706BAB" w:rsidP="00706BAB">
      <w:pPr>
        <w:pStyle w:val="EndnoteText"/>
        <w:rPr>
          <w:sz w:val="22"/>
          <w:szCs w:val="22"/>
        </w:rPr>
      </w:pPr>
    </w:p>
    <w:p w:rsidR="00706BAB" w:rsidRDefault="00706BAB" w:rsidP="00706BAB">
      <w:pPr>
        <w:pStyle w:val="EndnoteText"/>
        <w:rPr>
          <w:sz w:val="22"/>
          <w:szCs w:val="22"/>
        </w:rPr>
      </w:pPr>
      <w:r>
        <w:rPr>
          <w:sz w:val="22"/>
          <w:szCs w:val="22"/>
        </w:rPr>
        <w:t>Part 1 of Title 47 of the Code of Federal Regulations is amended to read as follows:</w:t>
      </w:r>
    </w:p>
    <w:p w:rsidR="00706BAB" w:rsidRDefault="00706BAB" w:rsidP="00706BAB">
      <w:pPr>
        <w:pStyle w:val="EndnoteText"/>
        <w:rPr>
          <w:sz w:val="22"/>
          <w:szCs w:val="22"/>
        </w:rPr>
      </w:pPr>
    </w:p>
    <w:p w:rsidR="00706BAB" w:rsidRDefault="00706BAB" w:rsidP="00706BAB">
      <w:pPr>
        <w:pStyle w:val="EndnoteText"/>
        <w:rPr>
          <w:b/>
          <w:sz w:val="22"/>
          <w:szCs w:val="22"/>
        </w:rPr>
      </w:pPr>
      <w:r>
        <w:rPr>
          <w:b/>
          <w:sz w:val="22"/>
          <w:szCs w:val="22"/>
        </w:rPr>
        <w:t>PART 1 – PRACTICE AND PROCEDURE</w:t>
      </w:r>
    </w:p>
    <w:p w:rsidR="00706BAB" w:rsidRDefault="00706BAB" w:rsidP="00706BAB">
      <w:pPr>
        <w:pStyle w:val="EndnoteText"/>
        <w:rPr>
          <w:sz w:val="22"/>
          <w:szCs w:val="22"/>
        </w:rPr>
      </w:pPr>
    </w:p>
    <w:p w:rsidR="00706BAB" w:rsidRDefault="00706BAB" w:rsidP="00706BAB">
      <w:pPr>
        <w:pStyle w:val="EndnoteText"/>
        <w:tabs>
          <w:tab w:val="left" w:pos="720"/>
        </w:tabs>
        <w:rPr>
          <w:sz w:val="22"/>
          <w:szCs w:val="22"/>
        </w:rPr>
      </w:pPr>
      <w:r>
        <w:rPr>
          <w:sz w:val="22"/>
          <w:szCs w:val="22"/>
        </w:rPr>
        <w:t>1.</w:t>
      </w:r>
      <w:r>
        <w:rPr>
          <w:sz w:val="22"/>
          <w:szCs w:val="22"/>
        </w:rPr>
        <w:tab/>
        <w:t xml:space="preserve">The authority citation for part 1 continues to read as follows:                                                       </w:t>
      </w:r>
    </w:p>
    <w:p w:rsidR="00706BAB" w:rsidRDefault="00706BAB" w:rsidP="00706BAB">
      <w:pPr>
        <w:pStyle w:val="EndnoteText"/>
        <w:rPr>
          <w:sz w:val="22"/>
          <w:szCs w:val="22"/>
        </w:rPr>
      </w:pPr>
      <w:r>
        <w:rPr>
          <w:sz w:val="22"/>
          <w:szCs w:val="22"/>
        </w:rPr>
        <w:tab/>
        <w:t xml:space="preserve">Authority:  15 U.S.C. 79 </w:t>
      </w:r>
      <w:r>
        <w:rPr>
          <w:i/>
          <w:sz w:val="22"/>
          <w:szCs w:val="22"/>
        </w:rPr>
        <w:t>et seq.</w:t>
      </w:r>
      <w:r>
        <w:rPr>
          <w:sz w:val="22"/>
          <w:szCs w:val="22"/>
        </w:rPr>
        <w:t>; 47 U.S.C. 151, 154(i), 154(j), 155, 157, 225, 303(r), 309.</w:t>
      </w:r>
    </w:p>
    <w:p w:rsidR="00706BAB" w:rsidRDefault="00706BAB" w:rsidP="00706BAB">
      <w:pPr>
        <w:pStyle w:val="EndnoteText"/>
        <w:rPr>
          <w:sz w:val="22"/>
          <w:szCs w:val="22"/>
        </w:rPr>
      </w:pPr>
    </w:p>
    <w:p w:rsidR="00706BAB" w:rsidRDefault="00706BAB" w:rsidP="00706BAB">
      <w:pPr>
        <w:pStyle w:val="EndnoteText"/>
        <w:tabs>
          <w:tab w:val="left" w:pos="720"/>
        </w:tabs>
        <w:rPr>
          <w:sz w:val="22"/>
          <w:szCs w:val="22"/>
        </w:rPr>
      </w:pPr>
      <w:r>
        <w:rPr>
          <w:sz w:val="22"/>
          <w:szCs w:val="22"/>
        </w:rPr>
        <w:t xml:space="preserve">2.   </w:t>
      </w:r>
      <w:r>
        <w:rPr>
          <w:sz w:val="22"/>
          <w:szCs w:val="22"/>
        </w:rPr>
        <w:tab/>
        <w:t>Section 1.1152 is revised to read as follows:</w:t>
      </w: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pacing w:val="-3"/>
          <w:szCs w:val="22"/>
        </w:rPr>
        <w:t xml:space="preserve">   </w:t>
      </w: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pacing w:val="-3"/>
          <w:szCs w:val="22"/>
        </w:rPr>
        <w:t>§ 1.1152  Schedule of annual regulatory fees and filing locations for wireless radio services.</w:t>
      </w:r>
    </w:p>
    <w:p w:rsidR="00706BAB" w:rsidRDefault="00706BAB" w:rsidP="00706BAB">
      <w:pPr>
        <w:tabs>
          <w:tab w:val="left" w:pos="-1440"/>
          <w:tab w:val="left" w:pos="-720"/>
          <w:tab w:val="left" w:pos="0"/>
          <w:tab w:val="left" w:pos="720"/>
          <w:tab w:val="left" w:pos="1440"/>
          <w:tab w:val="left" w:pos="2160"/>
          <w:tab w:val="left" w:pos="2880"/>
          <w:tab w:val="left" w:pos="3600"/>
          <w:tab w:val="left" w:pos="4680"/>
          <w:tab w:val="left" w:pos="5040"/>
        </w:tabs>
        <w:suppressAutoHyphens/>
        <w:jc w:val="both"/>
        <w:rPr>
          <w:spacing w:val="-3"/>
          <w:szCs w:val="22"/>
        </w:rPr>
      </w:pPr>
      <w:r>
        <w:rPr>
          <w:spacing w:val="-3"/>
          <w:szCs w:val="22"/>
        </w:rPr>
        <w:t xml:space="preserve">                     </w:t>
      </w:r>
    </w:p>
    <w:p w:rsidR="00706BAB" w:rsidRDefault="00706BAB" w:rsidP="00706BAB">
      <w:pPr>
        <w:tabs>
          <w:tab w:val="left" w:pos="-1440"/>
          <w:tab w:val="left" w:pos="-720"/>
          <w:tab w:val="left" w:pos="0"/>
          <w:tab w:val="left" w:pos="720"/>
          <w:tab w:val="left" w:pos="1440"/>
          <w:tab w:val="left" w:pos="2160"/>
          <w:tab w:val="left" w:pos="2880"/>
          <w:tab w:val="left" w:pos="3600"/>
          <w:tab w:val="left" w:pos="4320"/>
          <w:tab w:val="left" w:pos="4860"/>
          <w:tab w:val="left" w:pos="5760"/>
          <w:tab w:val="left" w:pos="6480"/>
          <w:tab w:val="left" w:pos="6840"/>
          <w:tab w:val="left" w:pos="7920"/>
        </w:tabs>
        <w:suppressAutoHyphens/>
        <w:jc w:val="both"/>
        <w:rPr>
          <w:spacing w:val="-3"/>
          <w:szCs w:val="22"/>
        </w:rPr>
      </w:pPr>
      <w:r>
        <w:rPr>
          <w:b/>
          <w:spacing w:val="-3"/>
          <w:szCs w:val="22"/>
        </w:rPr>
        <w:t>Exclusive use services (per license)</w:t>
      </w:r>
      <w:r>
        <w:rPr>
          <w:b/>
          <w:spacing w:val="-3"/>
          <w:szCs w:val="22"/>
        </w:rPr>
        <w:tab/>
      </w:r>
      <w:r>
        <w:rPr>
          <w:b/>
          <w:spacing w:val="-3"/>
          <w:szCs w:val="22"/>
        </w:rPr>
        <w:tab/>
      </w:r>
      <w:r>
        <w:rPr>
          <w:b/>
          <w:spacing w:val="-3"/>
          <w:szCs w:val="22"/>
        </w:rPr>
        <w:tab/>
        <w:t>Fee Amount</w:t>
      </w:r>
      <w:r>
        <w:rPr>
          <w:spacing w:val="-3"/>
          <w:szCs w:val="22"/>
        </w:rPr>
        <w:t xml:space="preserve"> </w:t>
      </w:r>
      <w:r>
        <w:rPr>
          <w:rStyle w:val="FootnoteReference"/>
          <w:spacing w:val="-2"/>
          <w:szCs w:val="22"/>
        </w:rPr>
        <w:footnoteReference w:id="268"/>
      </w:r>
      <w:r>
        <w:rPr>
          <w:b/>
          <w:spacing w:val="-3"/>
          <w:szCs w:val="22"/>
        </w:rPr>
        <w:tab/>
      </w:r>
      <w:r>
        <w:rPr>
          <w:b/>
          <w:spacing w:val="-3"/>
          <w:szCs w:val="22"/>
        </w:rPr>
        <w:tab/>
        <w:t>Address</w:t>
      </w:r>
      <w:r>
        <w:rPr>
          <w:spacing w:val="-3"/>
          <w:szCs w:val="22"/>
        </w:rPr>
        <w:t xml:space="preserve">  </w:t>
      </w:r>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spacing w:val="-3"/>
          <w:szCs w:val="22"/>
        </w:rPr>
      </w:pPr>
      <w:bookmarkStart w:id="361" w:name="_Toc394672349"/>
      <w:r>
        <w:rPr>
          <w:b/>
          <w:spacing w:val="-3"/>
          <w:szCs w:val="22"/>
        </w:rPr>
        <w:t>1.</w:t>
      </w:r>
      <w:r>
        <w:rPr>
          <w:b/>
          <w:spacing w:val="-3"/>
          <w:szCs w:val="22"/>
        </w:rPr>
        <w:tab/>
        <w:t>Land Mobile (Above 470</w:t>
      </w:r>
      <w:bookmarkEnd w:id="361"/>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b/>
          <w:spacing w:val="-3"/>
          <w:szCs w:val="22"/>
        </w:rPr>
      </w:pPr>
      <w:r>
        <w:rPr>
          <w:b/>
          <w:spacing w:val="-3"/>
          <w:szCs w:val="22"/>
        </w:rPr>
        <w:tab/>
      </w:r>
      <w:bookmarkStart w:id="362" w:name="_Toc394672350"/>
      <w:r>
        <w:rPr>
          <w:b/>
          <w:spacing w:val="-3"/>
          <w:szCs w:val="22"/>
        </w:rPr>
        <w:t>MHz and 220 MHz Local,</w:t>
      </w:r>
      <w:bookmarkEnd w:id="362"/>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outlineLvl w:val="0"/>
        <w:rPr>
          <w:b/>
          <w:spacing w:val="-3"/>
          <w:szCs w:val="22"/>
        </w:rPr>
      </w:pPr>
      <w:r>
        <w:rPr>
          <w:b/>
          <w:spacing w:val="-3"/>
          <w:szCs w:val="22"/>
        </w:rPr>
        <w:tab/>
      </w:r>
      <w:bookmarkStart w:id="363" w:name="_Toc394672351"/>
      <w:r>
        <w:rPr>
          <w:b/>
          <w:spacing w:val="-3"/>
          <w:szCs w:val="22"/>
        </w:rPr>
        <w:t>Base Station &amp; SMRS)</w:t>
      </w:r>
      <w:bookmarkEnd w:id="363"/>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r>
        <w:rPr>
          <w:b/>
          <w:spacing w:val="-3"/>
          <w:szCs w:val="22"/>
        </w:rPr>
        <w:tab/>
        <w:t>(47 CFR part 90)</w:t>
      </w:r>
    </w:p>
    <w:p w:rsidR="00706BAB" w:rsidRDefault="00706BAB" w:rsidP="00706BAB">
      <w:pPr>
        <w:tabs>
          <w:tab w:val="left" w:pos="-1440"/>
          <w:tab w:val="left" w:pos="-720"/>
          <w:tab w:val="left" w:pos="5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 New, Renew/Mod</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ind w:left="540"/>
        <w:jc w:val="both"/>
        <w:rPr>
          <w:spacing w:val="-3"/>
          <w:szCs w:val="22"/>
        </w:rPr>
      </w:pPr>
      <w:r>
        <w:rPr>
          <w:spacing w:val="-3"/>
          <w:szCs w:val="22"/>
        </w:rPr>
        <w:t>c)Renewal Only</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d)Renewal Only</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w:t>
      </w:r>
      <w:r>
        <w:rPr>
          <w:b/>
          <w:spacing w:val="-3"/>
          <w:szCs w:val="22"/>
        </w:rPr>
        <w:t>220 MHz Nationwide</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Renew/Mod</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lastRenderedPageBreak/>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d)Renewal Only</w:t>
      </w:r>
      <w:r>
        <w:rPr>
          <w:spacing w:val="-3"/>
          <w:szCs w:val="22"/>
        </w:rPr>
        <w:tab/>
        <w:t>$35.00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bookmarkStart w:id="364" w:name="_Toc394672352"/>
      <w:r>
        <w:rPr>
          <w:b/>
          <w:spacing w:val="-3"/>
          <w:szCs w:val="22"/>
        </w:rPr>
        <w:t>2.</w:t>
      </w:r>
      <w:r>
        <w:rPr>
          <w:b/>
          <w:spacing w:val="-3"/>
          <w:szCs w:val="22"/>
        </w:rPr>
        <w:tab/>
        <w:t>Microwave (47 CFR Pt. 101) (Private)</w:t>
      </w:r>
      <w:bookmarkEnd w:id="364"/>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w:t>
      </w:r>
      <w:r>
        <w:rPr>
          <w:spacing w:val="-3"/>
          <w:szCs w:val="22"/>
        </w:rPr>
        <w:tab/>
        <w:t>a)New, Renew/Mod</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Renew/Mod</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p>
    <w:p w:rsidR="00706BAB" w:rsidRDefault="00706BAB" w:rsidP="00706BAB">
      <w:pPr>
        <w:tabs>
          <w:tab w:val="left" w:pos="540"/>
          <w:tab w:val="left" w:pos="4860"/>
          <w:tab w:val="left" w:pos="6840"/>
        </w:tabs>
        <w:suppressAutoHyphens/>
        <w:ind w:left="540"/>
        <w:jc w:val="both"/>
        <w:rPr>
          <w:spacing w:val="-3"/>
          <w:szCs w:val="22"/>
        </w:rPr>
      </w:pPr>
      <w:r>
        <w:rPr>
          <w:spacing w:val="-3"/>
          <w:szCs w:val="22"/>
        </w:rPr>
        <w:t>c)Renewal Only</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d)Renewal Only</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bookmarkStart w:id="365" w:name="_Toc394672353"/>
      <w:r>
        <w:rPr>
          <w:b/>
          <w:spacing w:val="-3"/>
          <w:szCs w:val="22"/>
        </w:rPr>
        <w:t>3.  218-219 MHz Service</w:t>
      </w:r>
      <w:bookmarkEnd w:id="365"/>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t>$80.00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w:t>
      </w:r>
    </w:p>
    <w:p w:rsidR="00706BAB" w:rsidRDefault="00706BAB" w:rsidP="00706BAB">
      <w:pPr>
        <w:tabs>
          <w:tab w:val="left" w:pos="540"/>
          <w:tab w:val="left" w:pos="4860"/>
          <w:tab w:val="left" w:pos="6840"/>
        </w:tabs>
        <w:suppressAutoHyphens/>
        <w:ind w:firstLine="540"/>
        <w:jc w:val="both"/>
        <w:rPr>
          <w:spacing w:val="-3"/>
          <w:szCs w:val="22"/>
        </w:rPr>
      </w:pPr>
      <w:r>
        <w:rPr>
          <w:spacing w:val="-3"/>
          <w:szCs w:val="22"/>
        </w:rPr>
        <w:t xml:space="preserve"> b)New, Renew/Mod</w:t>
      </w:r>
      <w:r>
        <w:rPr>
          <w:spacing w:val="-3"/>
          <w:szCs w:val="22"/>
        </w:rPr>
        <w:tab/>
        <w:t>$80.00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ind w:left="540"/>
        <w:jc w:val="both"/>
        <w:rPr>
          <w:spacing w:val="-3"/>
          <w:szCs w:val="22"/>
        </w:rPr>
      </w:pPr>
      <w:r>
        <w:rPr>
          <w:spacing w:val="-3"/>
          <w:szCs w:val="22"/>
        </w:rPr>
        <w:t>c)Renewal Only</w:t>
      </w:r>
      <w:r>
        <w:rPr>
          <w:spacing w:val="-3"/>
          <w:szCs w:val="22"/>
        </w:rPr>
        <w:tab/>
        <w:t>$80.00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d)Renewal Only</w:t>
      </w:r>
      <w:r>
        <w:rPr>
          <w:spacing w:val="-3"/>
          <w:szCs w:val="22"/>
        </w:rPr>
        <w:tab/>
        <w:t>$80.00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widowControl/>
        <w:rPr>
          <w:spacing w:val="-3"/>
          <w:szCs w:val="22"/>
        </w:rPr>
      </w:pPr>
    </w:p>
    <w:p w:rsidR="00706BAB" w:rsidRDefault="00706BAB" w:rsidP="00706BAB">
      <w:pPr>
        <w:tabs>
          <w:tab w:val="left" w:pos="540"/>
          <w:tab w:val="left" w:pos="4860"/>
          <w:tab w:val="left" w:pos="6840"/>
        </w:tabs>
        <w:suppressAutoHyphens/>
        <w:jc w:val="both"/>
        <w:outlineLvl w:val="0"/>
        <w:rPr>
          <w:spacing w:val="-3"/>
          <w:szCs w:val="22"/>
        </w:rPr>
      </w:pPr>
      <w:bookmarkStart w:id="366" w:name="_Toc394672354"/>
      <w:r>
        <w:rPr>
          <w:b/>
          <w:spacing w:val="-3"/>
          <w:szCs w:val="22"/>
        </w:rPr>
        <w:t>4.  Shared Use Services</w:t>
      </w:r>
      <w:bookmarkEnd w:id="366"/>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outlineLvl w:val="0"/>
        <w:rPr>
          <w:b/>
          <w:spacing w:val="-3"/>
          <w:szCs w:val="22"/>
        </w:rPr>
      </w:pPr>
      <w:r>
        <w:rPr>
          <w:spacing w:val="-3"/>
          <w:szCs w:val="22"/>
        </w:rPr>
        <w:t xml:space="preserve">          </w:t>
      </w:r>
      <w:bookmarkStart w:id="367" w:name="_Toc394672355"/>
      <w:r>
        <w:rPr>
          <w:b/>
          <w:spacing w:val="-3"/>
          <w:szCs w:val="22"/>
        </w:rPr>
        <w:t>Land Mobile (Frequencies</w:t>
      </w:r>
      <w:bookmarkEnd w:id="367"/>
    </w:p>
    <w:p w:rsidR="00706BAB" w:rsidRDefault="00706BAB" w:rsidP="00706BAB">
      <w:pPr>
        <w:tabs>
          <w:tab w:val="left" w:pos="540"/>
          <w:tab w:val="left" w:pos="4860"/>
          <w:tab w:val="left" w:pos="6840"/>
        </w:tabs>
        <w:suppressAutoHyphens/>
        <w:jc w:val="both"/>
        <w:outlineLvl w:val="0"/>
        <w:rPr>
          <w:b/>
          <w:spacing w:val="-3"/>
          <w:szCs w:val="22"/>
        </w:rPr>
      </w:pPr>
      <w:r>
        <w:rPr>
          <w:spacing w:val="-3"/>
          <w:szCs w:val="22"/>
        </w:rPr>
        <w:t xml:space="preserve">          </w:t>
      </w:r>
      <w:bookmarkStart w:id="368" w:name="_Toc394672356"/>
      <w:r>
        <w:rPr>
          <w:b/>
          <w:spacing w:val="-3"/>
          <w:szCs w:val="22"/>
        </w:rPr>
        <w:t>Below 470 MHz – except</w:t>
      </w:r>
      <w:bookmarkEnd w:id="368"/>
    </w:p>
    <w:p w:rsidR="00706BAB" w:rsidRDefault="00706BAB" w:rsidP="00706BAB">
      <w:pPr>
        <w:tabs>
          <w:tab w:val="left" w:pos="540"/>
          <w:tab w:val="left" w:pos="4860"/>
          <w:tab w:val="left" w:pos="6840"/>
        </w:tabs>
        <w:suppressAutoHyphens/>
        <w:jc w:val="both"/>
        <w:outlineLvl w:val="0"/>
        <w:rPr>
          <w:b/>
          <w:spacing w:val="-3"/>
          <w:szCs w:val="22"/>
        </w:rPr>
      </w:pPr>
      <w:r>
        <w:rPr>
          <w:b/>
          <w:spacing w:val="-3"/>
          <w:szCs w:val="22"/>
        </w:rPr>
        <w:t xml:space="preserve">           </w:t>
      </w:r>
      <w:bookmarkStart w:id="369" w:name="_Toc394672357"/>
      <w:r>
        <w:rPr>
          <w:b/>
          <w:spacing w:val="-3"/>
          <w:szCs w:val="22"/>
        </w:rPr>
        <w:t>220 MHz)</w:t>
      </w:r>
      <w:bookmarkEnd w:id="369"/>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b) New, Renew/Mod</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d)Renewal Only</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r>
        <w:rPr>
          <w:spacing w:val="-3"/>
          <w:szCs w:val="22"/>
        </w:rPr>
        <w:tab/>
      </w:r>
      <w:bookmarkStart w:id="370" w:name="_Toc394672358"/>
      <w:r>
        <w:rPr>
          <w:b/>
          <w:spacing w:val="-3"/>
          <w:szCs w:val="22"/>
        </w:rPr>
        <w:t>General Mobile Radio Service</w:t>
      </w:r>
      <w:bookmarkEnd w:id="370"/>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t>$5.00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w:t>
      </w: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Renew/Mod</w:t>
      </w:r>
      <w:r>
        <w:rPr>
          <w:spacing w:val="-3"/>
          <w:szCs w:val="22"/>
        </w:rPr>
        <w:tab/>
        <w:t>$5.00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w:t>
      </w: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w:t>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ind w:left="540"/>
        <w:jc w:val="both"/>
        <w:rPr>
          <w:spacing w:val="-3"/>
          <w:szCs w:val="22"/>
        </w:rPr>
      </w:pPr>
      <w:r>
        <w:rPr>
          <w:spacing w:val="-3"/>
          <w:szCs w:val="22"/>
        </w:rPr>
        <w:t>d)Renewal Only</w:t>
      </w:r>
      <w:r>
        <w:rPr>
          <w:spacing w:val="-3"/>
          <w:szCs w:val="22"/>
        </w:rPr>
        <w:tab/>
        <w:t>$5.00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r>
        <w:rPr>
          <w:spacing w:val="-3"/>
          <w:szCs w:val="22"/>
        </w:rPr>
        <w:tab/>
      </w:r>
      <w:bookmarkStart w:id="371" w:name="_Toc394672359"/>
      <w:r>
        <w:rPr>
          <w:b/>
          <w:spacing w:val="-3"/>
          <w:szCs w:val="22"/>
        </w:rPr>
        <w:t>Rural Radio (Part 22)</w:t>
      </w:r>
      <w:bookmarkEnd w:id="371"/>
    </w:p>
    <w:p w:rsidR="00706BAB" w:rsidRDefault="00706BAB" w:rsidP="00706BAB">
      <w:pPr>
        <w:tabs>
          <w:tab w:val="left" w:pos="540"/>
          <w:tab w:val="left" w:pos="4860"/>
          <w:tab w:val="left" w:pos="6840"/>
        </w:tabs>
        <w:suppressAutoHyphens/>
        <w:jc w:val="both"/>
        <w:rPr>
          <w:spacing w:val="-3"/>
          <w:szCs w:val="22"/>
        </w:rPr>
      </w:pPr>
      <w:r>
        <w:rPr>
          <w:spacing w:val="-3"/>
          <w:szCs w:val="22"/>
        </w:rPr>
        <w:tab/>
        <w:t>a)New, Additional Facility,</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Major Renew/Mod</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St. Louis, MO</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b)Renewal, Minor Renew/Mod</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ind w:left="540"/>
        <w:jc w:val="both"/>
        <w:outlineLvl w:val="0"/>
        <w:rPr>
          <w:spacing w:val="-3"/>
          <w:szCs w:val="22"/>
        </w:rPr>
      </w:pPr>
      <w:bookmarkStart w:id="372" w:name="_Toc394672360"/>
      <w:r>
        <w:rPr>
          <w:b/>
          <w:spacing w:val="-3"/>
          <w:szCs w:val="22"/>
        </w:rPr>
        <w:t>Marine Coast</w:t>
      </w:r>
      <w:bookmarkEnd w:id="372"/>
    </w:p>
    <w:p w:rsidR="00706BAB" w:rsidRDefault="00706BAB" w:rsidP="00706BAB">
      <w:pPr>
        <w:tabs>
          <w:tab w:val="left" w:pos="540"/>
          <w:tab w:val="left" w:pos="4860"/>
          <w:tab w:val="left" w:pos="6840"/>
        </w:tabs>
        <w:suppressAutoHyphens/>
        <w:jc w:val="both"/>
        <w:rPr>
          <w:spacing w:val="-3"/>
          <w:szCs w:val="22"/>
        </w:rPr>
      </w:pPr>
      <w:r>
        <w:rPr>
          <w:spacing w:val="-3"/>
          <w:szCs w:val="22"/>
        </w:rPr>
        <w:tab/>
        <w:t>a)New Renewal/Mod</w:t>
      </w:r>
      <w:r>
        <w:rPr>
          <w:spacing w:val="-3"/>
          <w:szCs w:val="22"/>
        </w:rPr>
        <w:tab/>
        <w:t>$55.00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Renewal/Mod</w:t>
      </w:r>
      <w:r>
        <w:rPr>
          <w:spacing w:val="-3"/>
          <w:szCs w:val="22"/>
        </w:rPr>
        <w:tab/>
        <w:t>$55.00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p>
    <w:p w:rsidR="00706BAB" w:rsidRDefault="00706BAB" w:rsidP="00706BAB">
      <w:pPr>
        <w:tabs>
          <w:tab w:val="left" w:pos="540"/>
          <w:tab w:val="left" w:pos="4860"/>
          <w:tab w:val="left" w:pos="6840"/>
        </w:tabs>
        <w:suppressAutoHyphens/>
        <w:ind w:left="540"/>
        <w:jc w:val="both"/>
        <w:rPr>
          <w:spacing w:val="-3"/>
          <w:szCs w:val="22"/>
        </w:rPr>
      </w:pPr>
      <w:r>
        <w:rPr>
          <w:spacing w:val="-3"/>
          <w:szCs w:val="22"/>
        </w:rPr>
        <w:t>c)Renewal Only</w:t>
      </w:r>
      <w:r>
        <w:rPr>
          <w:spacing w:val="-3"/>
          <w:szCs w:val="22"/>
        </w:rPr>
        <w:tab/>
        <w:t>$55.00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lastRenderedPageBreak/>
        <w:tab/>
        <w:t xml:space="preserve">  </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d)Renewal Only</w:t>
      </w:r>
      <w:r>
        <w:rPr>
          <w:spacing w:val="-3"/>
          <w:szCs w:val="22"/>
        </w:rPr>
        <w:tab/>
        <w:t>$55.00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r>
        <w:rPr>
          <w:spacing w:val="-3"/>
          <w:szCs w:val="22"/>
        </w:rPr>
        <w:tab/>
      </w:r>
      <w:bookmarkStart w:id="373" w:name="_Toc394672361"/>
      <w:r>
        <w:rPr>
          <w:b/>
          <w:spacing w:val="-3"/>
          <w:szCs w:val="22"/>
        </w:rPr>
        <w:t>Aviation Ground</w:t>
      </w:r>
      <w:bookmarkEnd w:id="373"/>
    </w:p>
    <w:p w:rsidR="00706BAB" w:rsidRDefault="00706BAB" w:rsidP="00706BAB">
      <w:pPr>
        <w:tabs>
          <w:tab w:val="left" w:pos="540"/>
          <w:tab w:val="left" w:pos="4860"/>
          <w:tab w:val="left" w:pos="6840"/>
        </w:tabs>
        <w:suppressAutoHyphens/>
        <w:jc w:val="both"/>
        <w:rPr>
          <w:spacing w:val="-3"/>
          <w:szCs w:val="22"/>
        </w:rPr>
      </w:pPr>
      <w:r>
        <w:rPr>
          <w:spacing w:val="-3"/>
          <w:szCs w:val="22"/>
        </w:rPr>
        <w:tab/>
        <w:t>a)New, Renewal/Mod</w:t>
      </w:r>
      <w:r>
        <w:rPr>
          <w:spacing w:val="-3"/>
          <w:szCs w:val="22"/>
        </w:rPr>
        <w:tab/>
        <w:t>$30.00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Renewal/Mod</w:t>
      </w:r>
      <w:r>
        <w:rPr>
          <w:spacing w:val="-3"/>
          <w:szCs w:val="22"/>
        </w:rPr>
        <w:tab/>
        <w:t>$30.00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$30.00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d)Renewal Only</w:t>
      </w:r>
      <w:r>
        <w:rPr>
          <w:spacing w:val="-3"/>
          <w:szCs w:val="22"/>
        </w:rPr>
        <w:tab/>
        <w:t>$30.00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Only)</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601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r>
    </w:p>
    <w:p w:rsidR="00706BAB" w:rsidRDefault="00706BAB" w:rsidP="00706BAB">
      <w:pPr>
        <w:tabs>
          <w:tab w:val="left" w:pos="540"/>
          <w:tab w:val="left" w:pos="4860"/>
          <w:tab w:val="left" w:pos="6840"/>
        </w:tabs>
        <w:suppressAutoHyphens/>
        <w:jc w:val="both"/>
        <w:outlineLvl w:val="0"/>
        <w:rPr>
          <w:spacing w:val="-3"/>
          <w:szCs w:val="22"/>
        </w:rPr>
      </w:pPr>
      <w:r>
        <w:rPr>
          <w:spacing w:val="-3"/>
          <w:szCs w:val="22"/>
        </w:rPr>
        <w:tab/>
      </w:r>
      <w:bookmarkStart w:id="374" w:name="_Toc394672362"/>
      <w:r>
        <w:rPr>
          <w:b/>
          <w:spacing w:val="-3"/>
          <w:szCs w:val="22"/>
        </w:rPr>
        <w:t>Marine Ship</w:t>
      </w:r>
      <w:bookmarkEnd w:id="374"/>
    </w:p>
    <w:p w:rsidR="00706BAB" w:rsidRDefault="00706BAB" w:rsidP="00706BAB">
      <w:pPr>
        <w:tabs>
          <w:tab w:val="left" w:pos="540"/>
          <w:tab w:val="left" w:pos="4860"/>
          <w:tab w:val="left" w:pos="6840"/>
        </w:tabs>
        <w:suppressAutoHyphens/>
        <w:jc w:val="both"/>
        <w:rPr>
          <w:spacing w:val="-3"/>
          <w:szCs w:val="22"/>
        </w:rPr>
      </w:pPr>
      <w:r>
        <w:rPr>
          <w:spacing w:val="-3"/>
          <w:szCs w:val="22"/>
        </w:rPr>
        <w:tab/>
        <w:t>a)New, Renewal/Mod</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Renewal/Mod</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d)Renewal Only</w:t>
      </w:r>
      <w:r>
        <w:rPr>
          <w:spacing w:val="-3"/>
          <w:szCs w:val="22"/>
        </w:rPr>
        <w:tab/>
        <w:t>$15.00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p>
    <w:p w:rsidR="00F277CC" w:rsidRDefault="00706BAB" w:rsidP="00706BAB">
      <w:pPr>
        <w:tabs>
          <w:tab w:val="left" w:pos="540"/>
          <w:tab w:val="left" w:pos="4860"/>
          <w:tab w:val="left" w:pos="6840"/>
        </w:tabs>
        <w:suppressAutoHyphens/>
        <w:jc w:val="both"/>
        <w:outlineLvl w:val="0"/>
        <w:rPr>
          <w:spacing w:val="-3"/>
          <w:szCs w:val="22"/>
        </w:rPr>
      </w:pPr>
      <w:r>
        <w:rPr>
          <w:spacing w:val="-3"/>
          <w:szCs w:val="22"/>
        </w:rPr>
        <w:tab/>
      </w:r>
    </w:p>
    <w:p w:rsidR="00F277CC" w:rsidRDefault="00F277CC">
      <w:pPr>
        <w:widowControl/>
        <w:rPr>
          <w:spacing w:val="-3"/>
          <w:szCs w:val="22"/>
        </w:rPr>
      </w:pPr>
      <w:r>
        <w:rPr>
          <w:spacing w:val="-3"/>
          <w:szCs w:val="22"/>
        </w:rPr>
        <w:br w:type="page"/>
      </w:r>
    </w:p>
    <w:p w:rsidR="00706BAB" w:rsidRDefault="00706BAB" w:rsidP="00706BAB">
      <w:pPr>
        <w:tabs>
          <w:tab w:val="left" w:pos="540"/>
          <w:tab w:val="left" w:pos="4860"/>
          <w:tab w:val="left" w:pos="6840"/>
        </w:tabs>
        <w:suppressAutoHyphens/>
        <w:jc w:val="both"/>
        <w:outlineLvl w:val="0"/>
        <w:rPr>
          <w:spacing w:val="-3"/>
          <w:szCs w:val="22"/>
        </w:rPr>
      </w:pPr>
      <w:bookmarkStart w:id="375" w:name="_Toc394672363"/>
      <w:r>
        <w:rPr>
          <w:b/>
          <w:spacing w:val="-3"/>
          <w:szCs w:val="22"/>
        </w:rPr>
        <w:lastRenderedPageBreak/>
        <w:t>Aviation Aircraft</w:t>
      </w:r>
      <w:bookmarkEnd w:id="375"/>
    </w:p>
    <w:p w:rsidR="00706BAB" w:rsidRDefault="00706BAB" w:rsidP="00706BAB">
      <w:pPr>
        <w:tabs>
          <w:tab w:val="left" w:pos="540"/>
          <w:tab w:val="left" w:pos="4860"/>
          <w:tab w:val="left" w:pos="6840"/>
        </w:tabs>
        <w:suppressAutoHyphens/>
        <w:jc w:val="both"/>
        <w:rPr>
          <w:spacing w:val="-3"/>
          <w:szCs w:val="22"/>
        </w:rPr>
      </w:pPr>
      <w:r>
        <w:rPr>
          <w:spacing w:val="-3"/>
          <w:szCs w:val="22"/>
        </w:rPr>
        <w:tab/>
        <w:t>a)New, Renew/Mod</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b)New, Renew/Mod</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c)Renewal Only</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r>
      <w:r>
        <w:rPr>
          <w:spacing w:val="-3"/>
          <w:szCs w:val="22"/>
        </w:rPr>
        <w:tab/>
        <w:t>d)Renewal Only</w:t>
      </w:r>
      <w:r>
        <w:rPr>
          <w:spacing w:val="-3"/>
          <w:szCs w:val="22"/>
        </w:rPr>
        <w:tab/>
        <w:t>$10.00</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b/>
          <w:spacing w:val="-3"/>
          <w:szCs w:val="22"/>
        </w:rPr>
        <w:t>5.  Amateur Vanity Call Signs</w:t>
      </w:r>
      <w:r>
        <w:rPr>
          <w:spacing w:val="-3"/>
          <w:szCs w:val="22"/>
        </w:rPr>
        <w:tab/>
        <w:t>$2.14</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a)Initial or Renew</w:t>
      </w:r>
      <w:r>
        <w:rPr>
          <w:spacing w:val="-3"/>
          <w:szCs w:val="22"/>
        </w:rPr>
        <w:tab/>
      </w:r>
      <w:r>
        <w:rPr>
          <w:spacing w:val="-3"/>
          <w:szCs w:val="22"/>
        </w:rPr>
        <w:tab/>
        <w:t xml:space="preserve">P.O. Box 979097 </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spacing w:val="-3"/>
          <w:szCs w:val="22"/>
        </w:rPr>
        <w:tab/>
        <w:t>b)Initial or Renew</w:t>
      </w:r>
      <w:r>
        <w:rPr>
          <w:spacing w:val="-3"/>
          <w:szCs w:val="22"/>
        </w:rPr>
        <w:tab/>
        <w:t>$2.14</w:t>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(Electronic Filing)</w:t>
      </w:r>
      <w:r>
        <w:rPr>
          <w:spacing w:val="-3"/>
          <w:szCs w:val="22"/>
        </w:rPr>
        <w:tab/>
      </w:r>
      <w:r>
        <w:rPr>
          <w:spacing w:val="-3"/>
          <w:szCs w:val="22"/>
        </w:rPr>
        <w:tab/>
        <w:t>P.O. Box 979097</w:t>
      </w:r>
    </w:p>
    <w:p w:rsidR="00706BAB" w:rsidRDefault="00706BAB" w:rsidP="00706BAB">
      <w:pPr>
        <w:tabs>
          <w:tab w:val="left" w:pos="540"/>
          <w:tab w:val="left" w:pos="4860"/>
          <w:tab w:val="left" w:pos="6840"/>
        </w:tabs>
        <w:suppressAutoHyphens/>
        <w:jc w:val="both"/>
        <w:rPr>
          <w:spacing w:val="-3"/>
          <w:szCs w:val="22"/>
        </w:rPr>
      </w:pPr>
      <w:r>
        <w:rPr>
          <w:spacing w:val="-3"/>
          <w:szCs w:val="22"/>
        </w:rPr>
        <w:tab/>
        <w:t xml:space="preserve">  (FCC 605 &amp; 159)</w:t>
      </w:r>
      <w:r>
        <w:rPr>
          <w:spacing w:val="-3"/>
          <w:szCs w:val="22"/>
        </w:rPr>
        <w:tab/>
      </w:r>
      <w:r>
        <w:rPr>
          <w:spacing w:val="-3"/>
          <w:szCs w:val="22"/>
        </w:rPr>
        <w:tab/>
        <w:t>St. Louis, MO 63197-9000</w:t>
      </w:r>
      <w:r>
        <w:rPr>
          <w:spacing w:val="-3"/>
          <w:szCs w:val="22"/>
        </w:rPr>
        <w:tab/>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b/>
          <w:spacing w:val="-3"/>
          <w:szCs w:val="22"/>
        </w:rPr>
        <w:t>6.  CMRS Cellular/Mobile Services</w:t>
      </w:r>
      <w:r>
        <w:rPr>
          <w:spacing w:val="-3"/>
          <w:szCs w:val="22"/>
        </w:rPr>
        <w:tab/>
        <w:t>$ .18</w:t>
      </w:r>
      <w:r>
        <w:rPr>
          <w:rStyle w:val="FootnoteReference"/>
          <w:spacing w:val="-3"/>
          <w:szCs w:val="22"/>
        </w:rPr>
        <w:footnoteReference w:id="269"/>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b/>
          <w:spacing w:val="-3"/>
          <w:szCs w:val="22"/>
        </w:rPr>
        <w:t xml:space="preserve">     (per unit)</w:t>
      </w:r>
      <w:r>
        <w:rPr>
          <w:spacing w:val="-3"/>
          <w:szCs w:val="22"/>
        </w:rPr>
        <w:tab/>
      </w:r>
      <w:r>
        <w:rPr>
          <w:spacing w:val="-3"/>
          <w:szCs w:val="22"/>
        </w:rPr>
        <w:tab/>
        <w:t>P.O. Box 979084</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(FCC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b/>
          <w:spacing w:val="-3"/>
          <w:szCs w:val="22"/>
        </w:rPr>
        <w:t>7.  CMRS Messaging Services</w:t>
      </w:r>
      <w:r>
        <w:rPr>
          <w:spacing w:val="-3"/>
          <w:szCs w:val="22"/>
        </w:rPr>
        <w:tab/>
        <w:t>$ .08</w:t>
      </w:r>
      <w:r>
        <w:rPr>
          <w:rStyle w:val="FootnoteReference"/>
          <w:spacing w:val="-3"/>
          <w:szCs w:val="22"/>
        </w:rPr>
        <w:footnoteReference w:id="270"/>
      </w:r>
      <w:r>
        <w:rPr>
          <w:spacing w:val="-3"/>
          <w:szCs w:val="22"/>
        </w:rPr>
        <w:tab/>
        <w:t>FCC</w:t>
      </w:r>
    </w:p>
    <w:p w:rsidR="00706BAB" w:rsidRDefault="00706BAB" w:rsidP="00706BAB">
      <w:pPr>
        <w:tabs>
          <w:tab w:val="left" w:pos="540"/>
          <w:tab w:val="left" w:pos="4860"/>
          <w:tab w:val="left" w:pos="6840"/>
        </w:tabs>
        <w:suppressAutoHyphens/>
        <w:jc w:val="both"/>
        <w:rPr>
          <w:spacing w:val="-3"/>
          <w:szCs w:val="22"/>
        </w:rPr>
      </w:pPr>
      <w:r>
        <w:rPr>
          <w:b/>
          <w:spacing w:val="-3"/>
          <w:szCs w:val="22"/>
        </w:rPr>
        <w:t xml:space="preserve">     (per unit)</w:t>
      </w:r>
      <w:r>
        <w:rPr>
          <w:spacing w:val="-3"/>
          <w:szCs w:val="22"/>
        </w:rPr>
        <w:tab/>
      </w:r>
      <w:r>
        <w:rPr>
          <w:spacing w:val="-3"/>
          <w:szCs w:val="22"/>
        </w:rPr>
        <w:tab/>
        <w:t>P.O. Box 979084</w:t>
      </w:r>
    </w:p>
    <w:p w:rsidR="00706BAB" w:rsidRDefault="00706BAB" w:rsidP="00706BAB">
      <w:pPr>
        <w:tabs>
          <w:tab w:val="left" w:pos="540"/>
          <w:tab w:val="left" w:pos="4860"/>
          <w:tab w:val="left" w:pos="6840"/>
        </w:tabs>
        <w:suppressAutoHyphens/>
        <w:jc w:val="both"/>
        <w:rPr>
          <w:spacing w:val="-3"/>
          <w:szCs w:val="22"/>
        </w:rPr>
      </w:pPr>
      <w:r>
        <w:rPr>
          <w:spacing w:val="-3"/>
          <w:szCs w:val="22"/>
        </w:rPr>
        <w:t xml:space="preserve">     (FCC 159)</w:t>
      </w:r>
      <w:r>
        <w:rPr>
          <w:spacing w:val="-3"/>
          <w:szCs w:val="22"/>
        </w:rPr>
        <w:tab/>
      </w:r>
      <w:r>
        <w:rPr>
          <w:spacing w:val="-3"/>
          <w:szCs w:val="22"/>
        </w:rPr>
        <w:tab/>
        <w:t>St. Louis, MO 63197-9000</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8. Broadband Radio Service</w:t>
      </w:r>
      <w:r>
        <w:rPr>
          <w:spacing w:val="-3"/>
          <w:szCs w:val="22"/>
        </w:rPr>
        <w:tab/>
        <w:t xml:space="preserve">     $  715</w:t>
      </w:r>
      <w:r>
        <w:rPr>
          <w:spacing w:val="-3"/>
          <w:szCs w:val="22"/>
        </w:rPr>
        <w:tab/>
        <w:t xml:space="preserve">       FCC</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 xml:space="preserve">    (formerly MMDS and  MDS)</w:t>
      </w:r>
      <w:r>
        <w:rPr>
          <w:spacing w:val="-3"/>
          <w:szCs w:val="22"/>
        </w:rPr>
        <w:tab/>
      </w:r>
      <w:r>
        <w:rPr>
          <w:spacing w:val="-3"/>
          <w:szCs w:val="22"/>
        </w:rPr>
        <w:tab/>
        <w:t xml:space="preserve">       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r>
      <w:r>
        <w:rPr>
          <w:spacing w:val="-3"/>
          <w:szCs w:val="22"/>
        </w:rPr>
        <w:tab/>
      </w:r>
      <w:r>
        <w:rPr>
          <w:spacing w:val="-3"/>
          <w:szCs w:val="22"/>
        </w:rPr>
        <w:tab/>
        <w:t xml:space="preserve">       St. Louis, MO 63197-9000</w:t>
      </w:r>
    </w:p>
    <w:p w:rsidR="00706BAB" w:rsidRDefault="00706BAB" w:rsidP="00706BAB">
      <w:pPr>
        <w:widowControl/>
        <w:rPr>
          <w:b/>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9. Local Multipoint Distribution Service</w:t>
      </w:r>
      <w:r>
        <w:rPr>
          <w:spacing w:val="-3"/>
          <w:szCs w:val="22"/>
        </w:rPr>
        <w:tab/>
        <w:t>$  715</w:t>
      </w:r>
      <w:r>
        <w:rPr>
          <w:spacing w:val="-3"/>
          <w:szCs w:val="22"/>
        </w:rPr>
        <w:tab/>
        <w:t xml:space="preserve">       FCC, ,</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 xml:space="preserve">    </w:t>
      </w:r>
      <w:r>
        <w:rPr>
          <w:spacing w:val="-3"/>
          <w:szCs w:val="22"/>
        </w:rPr>
        <w:tab/>
      </w:r>
      <w:r>
        <w:rPr>
          <w:spacing w:val="-3"/>
          <w:szCs w:val="22"/>
        </w:rPr>
        <w:tab/>
      </w:r>
      <w:r>
        <w:rPr>
          <w:spacing w:val="-3"/>
          <w:szCs w:val="22"/>
        </w:rPr>
        <w:tab/>
        <w:t xml:space="preserve">       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r>
      <w:r>
        <w:rPr>
          <w:spacing w:val="-3"/>
          <w:szCs w:val="22"/>
        </w:rPr>
        <w:tab/>
      </w:r>
      <w:r>
        <w:rPr>
          <w:spacing w:val="-3"/>
          <w:szCs w:val="22"/>
        </w:rPr>
        <w:tab/>
        <w:t xml:space="preserve">       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720"/>
          <w:tab w:val="left" w:pos="4860"/>
          <w:tab w:val="left" w:pos="6840"/>
        </w:tabs>
        <w:suppressAutoHyphens/>
        <w:jc w:val="both"/>
        <w:rPr>
          <w:spacing w:val="-3"/>
          <w:szCs w:val="22"/>
        </w:rPr>
      </w:pPr>
      <w:r>
        <w:rPr>
          <w:spacing w:val="-3"/>
          <w:szCs w:val="22"/>
        </w:rPr>
        <w:t>3.   Section 1.1153 is revised to read as follows:</w:t>
      </w:r>
    </w:p>
    <w:p w:rsidR="00706BAB" w:rsidRDefault="00706BAB" w:rsidP="00706BAB">
      <w:pPr>
        <w:tabs>
          <w:tab w:val="left" w:pos="540"/>
          <w:tab w:val="left" w:pos="4860"/>
          <w:tab w:val="left" w:pos="6840"/>
        </w:tabs>
        <w:suppressAutoHyphens/>
        <w:rPr>
          <w:b/>
          <w:szCs w:val="22"/>
        </w:rPr>
      </w:pPr>
    </w:p>
    <w:p w:rsidR="00706BAB" w:rsidRDefault="00706BAB" w:rsidP="00706BAB">
      <w:pPr>
        <w:tabs>
          <w:tab w:val="left" w:pos="540"/>
          <w:tab w:val="left" w:pos="4860"/>
          <w:tab w:val="left" w:pos="6840"/>
        </w:tabs>
        <w:suppressAutoHyphens/>
        <w:rPr>
          <w:szCs w:val="22"/>
        </w:rPr>
      </w:pPr>
      <w:r>
        <w:rPr>
          <w:szCs w:val="22"/>
        </w:rPr>
        <w:t xml:space="preserve">§ 1.1153  Schedule of annual regulatory fees and filing locations for mass media services. </w:t>
      </w: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p>
    <w:p w:rsidR="00706BAB" w:rsidRDefault="00706BAB" w:rsidP="00706BAB">
      <w:pPr>
        <w:tabs>
          <w:tab w:val="left" w:pos="540"/>
          <w:tab w:val="left" w:pos="4860"/>
          <w:tab w:val="left" w:pos="6840"/>
        </w:tabs>
        <w:suppressAutoHyphens/>
        <w:jc w:val="both"/>
        <w:rPr>
          <w:spacing w:val="-3"/>
          <w:szCs w:val="22"/>
        </w:rPr>
      </w:pPr>
      <w:r>
        <w:rPr>
          <w:b/>
          <w:spacing w:val="-3"/>
          <w:szCs w:val="22"/>
        </w:rPr>
        <w:t>Radio [AM and FM] (47 CFR part 73)</w:t>
      </w:r>
      <w:r>
        <w:rPr>
          <w:b/>
          <w:spacing w:val="-3"/>
          <w:szCs w:val="22"/>
        </w:rPr>
        <w:tab/>
        <w:t>Fee Amount</w:t>
      </w:r>
      <w:r>
        <w:rPr>
          <w:b/>
          <w:spacing w:val="-3"/>
          <w:szCs w:val="22"/>
        </w:rPr>
        <w:tab/>
        <w:t>Address</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rPr>
      </w:pPr>
      <w:bookmarkStart w:id="376" w:name="_Toc394672364"/>
      <w:r>
        <w:rPr>
          <w:spacing w:val="-3"/>
          <w:szCs w:val="22"/>
        </w:rPr>
        <w:t>1.</w:t>
      </w:r>
      <w:r>
        <w:rPr>
          <w:spacing w:val="-3"/>
          <w:szCs w:val="22"/>
        </w:rPr>
        <w:tab/>
      </w:r>
      <w:r>
        <w:rPr>
          <w:spacing w:val="-3"/>
          <w:szCs w:val="22"/>
          <w:u w:val="single"/>
        </w:rPr>
        <w:t>AM Class A</w:t>
      </w:r>
      <w:bookmarkEnd w:id="376"/>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t>&lt;=25,000 population</w:t>
      </w:r>
      <w:r>
        <w:rPr>
          <w:spacing w:val="-3"/>
          <w:szCs w:val="22"/>
        </w:rPr>
        <w:tab/>
        <w:t xml:space="preserve">   $775</w:t>
      </w:r>
      <w:r>
        <w:rPr>
          <w:spacing w:val="-3"/>
          <w:szCs w:val="22"/>
        </w:rPr>
        <w:tab/>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rPr>
        <w:tab/>
      </w:r>
      <w:r>
        <w:rPr>
          <w:spacing w:val="-3"/>
          <w:szCs w:val="22"/>
          <w:lang w:val="fr-FR"/>
        </w:rPr>
        <w:t>25,001-75,000 population</w:t>
      </w:r>
      <w:r>
        <w:rPr>
          <w:spacing w:val="-3"/>
          <w:szCs w:val="22"/>
          <w:lang w:val="fr-FR"/>
        </w:rPr>
        <w:tab/>
        <w:t>$1,550</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$2,325</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$3,475</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$5,025</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$7,750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$9,300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2.</w:t>
      </w:r>
      <w:r>
        <w:rPr>
          <w:spacing w:val="-3"/>
          <w:szCs w:val="22"/>
          <w:lang w:val="fr-FR"/>
        </w:rPr>
        <w:tab/>
      </w:r>
      <w:r>
        <w:rPr>
          <w:spacing w:val="-3"/>
          <w:szCs w:val="22"/>
          <w:u w:val="single"/>
          <w:lang w:val="fr-FR"/>
        </w:rPr>
        <w:t>AM Class B</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&lt;=25,000 population</w:t>
      </w:r>
      <w:r>
        <w:rPr>
          <w:spacing w:val="-3"/>
          <w:szCs w:val="22"/>
          <w:lang w:val="fr-FR"/>
        </w:rPr>
        <w:tab/>
        <w:t xml:space="preserve">   $645</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25,001-75,000 population</w:t>
      </w:r>
      <w:r>
        <w:rPr>
          <w:spacing w:val="-3"/>
          <w:szCs w:val="22"/>
          <w:lang w:val="fr-FR"/>
        </w:rPr>
        <w:tab/>
        <w:t>$1,300</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$1,625</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$2,750</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$4,225</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$6,500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$7,800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lang w:val="fr-FR"/>
        </w:rPr>
      </w:pPr>
      <w:bookmarkStart w:id="377" w:name="_Toc394672365"/>
      <w:r>
        <w:rPr>
          <w:spacing w:val="-3"/>
          <w:szCs w:val="22"/>
          <w:lang w:val="fr-FR"/>
        </w:rPr>
        <w:t>3.</w:t>
      </w:r>
      <w:r>
        <w:rPr>
          <w:spacing w:val="-3"/>
          <w:szCs w:val="22"/>
          <w:lang w:val="fr-FR"/>
        </w:rPr>
        <w:tab/>
      </w:r>
      <w:r>
        <w:rPr>
          <w:spacing w:val="-3"/>
          <w:szCs w:val="22"/>
          <w:u w:val="single"/>
          <w:lang w:val="fr-FR"/>
        </w:rPr>
        <w:t>AM Class C</w:t>
      </w:r>
      <w:bookmarkEnd w:id="377"/>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&lt;=25,000 population</w:t>
      </w:r>
      <w:r>
        <w:rPr>
          <w:spacing w:val="-3"/>
          <w:szCs w:val="22"/>
          <w:lang w:val="fr-FR"/>
        </w:rPr>
        <w:tab/>
        <w:t xml:space="preserve">   $590</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25,001-75,000 population</w:t>
      </w:r>
      <w:r>
        <w:rPr>
          <w:spacing w:val="-3"/>
          <w:szCs w:val="22"/>
          <w:lang w:val="fr-FR"/>
        </w:rPr>
        <w:tab/>
        <w:t xml:space="preserve">   $900</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$1,200</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$1,800</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$3,000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$4,500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$5,700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lang w:val="fr-FR"/>
        </w:rPr>
      </w:pPr>
      <w:bookmarkStart w:id="378" w:name="_Toc394672366"/>
      <w:r>
        <w:rPr>
          <w:spacing w:val="-3"/>
          <w:szCs w:val="22"/>
          <w:lang w:val="fr-FR"/>
        </w:rPr>
        <w:t>4.</w:t>
      </w:r>
      <w:r>
        <w:rPr>
          <w:spacing w:val="-3"/>
          <w:szCs w:val="22"/>
          <w:lang w:val="fr-FR"/>
        </w:rPr>
        <w:tab/>
      </w:r>
      <w:r>
        <w:rPr>
          <w:spacing w:val="-3"/>
          <w:szCs w:val="22"/>
          <w:u w:val="single"/>
          <w:lang w:val="fr-FR"/>
        </w:rPr>
        <w:t>AM Class D</w:t>
      </w:r>
      <w:bookmarkEnd w:id="378"/>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&lt;=25,000 population</w:t>
      </w:r>
      <w:r>
        <w:rPr>
          <w:spacing w:val="-3"/>
          <w:szCs w:val="22"/>
          <w:lang w:val="fr-FR"/>
        </w:rPr>
        <w:tab/>
        <w:t xml:space="preserve">   $670</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25,001-75,000 population</w:t>
      </w:r>
      <w:r>
        <w:rPr>
          <w:spacing w:val="-3"/>
          <w:szCs w:val="22"/>
          <w:lang w:val="fr-FR"/>
        </w:rPr>
        <w:tab/>
        <w:t>$1,000</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$1,675</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$2,025</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$3,375</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$5,400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$6,750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5.</w:t>
      </w:r>
      <w:r>
        <w:rPr>
          <w:spacing w:val="-3"/>
          <w:szCs w:val="22"/>
          <w:lang w:val="fr-FR"/>
        </w:rPr>
        <w:tab/>
        <w:t>AM Construction Permit</w:t>
      </w:r>
      <w:r>
        <w:rPr>
          <w:spacing w:val="-3"/>
          <w:szCs w:val="22"/>
          <w:lang w:val="fr-FR"/>
        </w:rPr>
        <w:tab/>
        <w:t xml:space="preserve">   $590</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r>
      <w:r>
        <w:rPr>
          <w:spacing w:val="-3"/>
          <w:szCs w:val="22"/>
          <w:lang w:val="fr-FR"/>
        </w:rPr>
        <w:tab/>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r>
      <w:r>
        <w:rPr>
          <w:spacing w:val="-3"/>
          <w:szCs w:val="22"/>
          <w:lang w:val="fr-FR"/>
        </w:rPr>
        <w:tab/>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r>
      <w:r>
        <w:rPr>
          <w:spacing w:val="-3"/>
          <w:szCs w:val="22"/>
          <w:lang w:val="fr-FR"/>
        </w:rPr>
        <w:tab/>
      </w:r>
      <w:r>
        <w:rPr>
          <w:spacing w:val="-3"/>
          <w:szCs w:val="22"/>
          <w:lang w:val="fr-FR"/>
        </w:rPr>
        <w:tab/>
        <w:t>63197-9000</w:t>
      </w:r>
    </w:p>
    <w:p w:rsidR="00F277CC" w:rsidRDefault="00F277CC">
      <w:pPr>
        <w:widowControl/>
        <w:rPr>
          <w:spacing w:val="-3"/>
          <w:szCs w:val="22"/>
          <w:lang w:val="fr-FR"/>
        </w:rPr>
      </w:pPr>
      <w:r>
        <w:rPr>
          <w:spacing w:val="-3"/>
          <w:szCs w:val="22"/>
          <w:lang w:val="fr-FR"/>
        </w:rPr>
        <w:br w:type="page"/>
      </w:r>
    </w:p>
    <w:p w:rsidR="00706BAB" w:rsidRDefault="00706BAB" w:rsidP="00706BAB">
      <w:pPr>
        <w:tabs>
          <w:tab w:val="left" w:pos="-1440"/>
          <w:tab w:val="left" w:pos="-720"/>
          <w:tab w:val="left" w:pos="540"/>
          <w:tab w:val="left" w:pos="4590"/>
          <w:tab w:val="left" w:pos="6480"/>
        </w:tabs>
        <w:suppressAutoHyphens/>
        <w:jc w:val="both"/>
        <w:outlineLvl w:val="0"/>
        <w:rPr>
          <w:spacing w:val="-3"/>
          <w:szCs w:val="22"/>
          <w:lang w:val="fr-FR"/>
        </w:rPr>
      </w:pPr>
      <w:bookmarkStart w:id="379" w:name="_Toc394672367"/>
      <w:r>
        <w:rPr>
          <w:spacing w:val="-3"/>
          <w:szCs w:val="22"/>
          <w:lang w:val="fr-FR"/>
        </w:rPr>
        <w:lastRenderedPageBreak/>
        <w:t>6.</w:t>
      </w:r>
      <w:r>
        <w:rPr>
          <w:spacing w:val="-3"/>
          <w:szCs w:val="22"/>
          <w:lang w:val="fr-FR"/>
        </w:rPr>
        <w:tab/>
      </w:r>
      <w:r>
        <w:rPr>
          <w:spacing w:val="-3"/>
          <w:szCs w:val="22"/>
          <w:u w:val="single"/>
          <w:lang w:val="fr-FR"/>
        </w:rPr>
        <w:t>FM Classes A, B1 and C3</w:t>
      </w:r>
      <w:bookmarkEnd w:id="379"/>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&lt;=25,000 population</w:t>
      </w:r>
      <w:r>
        <w:rPr>
          <w:spacing w:val="-3"/>
          <w:szCs w:val="22"/>
          <w:lang w:val="fr-FR"/>
        </w:rPr>
        <w:tab/>
        <w:t xml:space="preserve">   $750</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25,001-75,000 population</w:t>
      </w:r>
      <w:r>
        <w:rPr>
          <w:spacing w:val="-3"/>
          <w:szCs w:val="22"/>
          <w:lang w:val="fr-FR"/>
        </w:rPr>
        <w:tab/>
        <w:t>$1,500</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$2,050</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$3,175</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$5,050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$8,250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$10,500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rPr>
      </w:pPr>
      <w:bookmarkStart w:id="380" w:name="_Toc394672368"/>
      <w:r>
        <w:rPr>
          <w:spacing w:val="-3"/>
          <w:szCs w:val="22"/>
        </w:rPr>
        <w:t>7.</w:t>
      </w:r>
      <w:r>
        <w:rPr>
          <w:spacing w:val="-3"/>
          <w:szCs w:val="22"/>
        </w:rPr>
        <w:tab/>
      </w:r>
      <w:r>
        <w:rPr>
          <w:spacing w:val="-3"/>
          <w:szCs w:val="22"/>
          <w:u w:val="single"/>
        </w:rPr>
        <w:t>FM Classes B, C, C0, C1 and C2</w:t>
      </w:r>
      <w:bookmarkEnd w:id="380"/>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rPr>
        <w:tab/>
      </w:r>
      <w:r>
        <w:rPr>
          <w:spacing w:val="-3"/>
          <w:szCs w:val="22"/>
          <w:lang w:val="fr-FR"/>
        </w:rPr>
        <w:t>&lt;=25,000 population</w:t>
      </w:r>
      <w:r>
        <w:rPr>
          <w:spacing w:val="-3"/>
          <w:szCs w:val="22"/>
          <w:lang w:val="fr-FR"/>
        </w:rPr>
        <w:tab/>
        <w:t xml:space="preserve">   $925</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25,001-75,000 population</w:t>
      </w:r>
      <w:r>
        <w:rPr>
          <w:spacing w:val="-3"/>
          <w:szCs w:val="22"/>
          <w:lang w:val="fr-FR"/>
        </w:rPr>
        <w:tab/>
        <w:t>$1,625</w:t>
      </w:r>
      <w:r>
        <w:rPr>
          <w:spacing w:val="-3"/>
          <w:szCs w:val="22"/>
          <w:lang w:val="fr-FR"/>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75,001-150,000 population</w:t>
      </w:r>
      <w:r>
        <w:rPr>
          <w:spacing w:val="-3"/>
          <w:szCs w:val="22"/>
          <w:lang w:val="fr-FR"/>
        </w:rPr>
        <w:tab/>
        <w:t>$3,000</w:t>
      </w:r>
      <w:r>
        <w:rPr>
          <w:spacing w:val="-3"/>
          <w:szCs w:val="22"/>
          <w:lang w:val="fr-FR"/>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150,001-500,000 population</w:t>
      </w:r>
      <w:r>
        <w:rPr>
          <w:spacing w:val="-3"/>
          <w:szCs w:val="22"/>
          <w:lang w:val="fr-FR"/>
        </w:rPr>
        <w:tab/>
        <w:t>$3,925</w:t>
      </w:r>
      <w:r>
        <w:rPr>
          <w:spacing w:val="-3"/>
          <w:szCs w:val="22"/>
          <w:lang w:val="fr-FR"/>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500,001-1,200,000 population</w:t>
      </w:r>
      <w:r>
        <w:rPr>
          <w:spacing w:val="-3"/>
          <w:szCs w:val="22"/>
          <w:lang w:val="fr-FR"/>
        </w:rPr>
        <w:tab/>
        <w:t>$5,775</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1,200,001-3,000,000 population</w:t>
      </w:r>
      <w:r>
        <w:rPr>
          <w:spacing w:val="-3"/>
          <w:szCs w:val="22"/>
          <w:lang w:val="fr-FR"/>
        </w:rPr>
        <w:tab/>
        <w:t>$9,250</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t>&gt;3,000,000 population</w:t>
      </w:r>
      <w:r>
        <w:rPr>
          <w:spacing w:val="-3"/>
          <w:szCs w:val="22"/>
          <w:lang w:val="fr-FR"/>
        </w:rPr>
        <w:tab/>
        <w:t>$12,025</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lang w:val="fr-FR"/>
        </w:rPr>
        <w:t>8.</w:t>
      </w:r>
      <w:r>
        <w:rPr>
          <w:spacing w:val="-3"/>
          <w:szCs w:val="22"/>
          <w:lang w:val="fr-FR"/>
        </w:rPr>
        <w:tab/>
        <w:t>FM Construction Permits</w:t>
      </w:r>
      <w:r>
        <w:rPr>
          <w:spacing w:val="-3"/>
          <w:szCs w:val="22"/>
          <w:lang w:val="fr-FR"/>
        </w:rPr>
        <w:tab/>
        <w:t>$750</w:t>
      </w:r>
      <w:r>
        <w:rPr>
          <w:spacing w:val="-3"/>
          <w:szCs w:val="22"/>
          <w:lang w:val="fr-FR"/>
        </w:rPr>
        <w:tab/>
      </w:r>
      <w:r>
        <w:rPr>
          <w:spacing w:val="-3"/>
          <w:szCs w:val="22"/>
        </w:rPr>
        <w:t>FCC, Radio</w:t>
      </w:r>
    </w:p>
    <w:p w:rsidR="00706BAB"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rPr>
        <w:tab/>
      </w:r>
      <w:r>
        <w:rPr>
          <w:spacing w:val="-3"/>
          <w:szCs w:val="22"/>
        </w:rPr>
        <w:tab/>
      </w:r>
      <w:r>
        <w:rPr>
          <w:spacing w:val="-3"/>
          <w:szCs w:val="22"/>
        </w:rPr>
        <w:tab/>
      </w:r>
      <w:r>
        <w:rPr>
          <w:spacing w:val="-3"/>
          <w:szCs w:val="22"/>
          <w:lang w:val="fr-FR"/>
        </w:rPr>
        <w:t>P.O. Box 979084</w:t>
      </w:r>
    </w:p>
    <w:p w:rsidR="00706BAB" w:rsidRPr="00F64795" w:rsidRDefault="00706BAB" w:rsidP="00706BAB">
      <w:pPr>
        <w:tabs>
          <w:tab w:val="left" w:pos="-1440"/>
          <w:tab w:val="left" w:pos="-720"/>
          <w:tab w:val="left" w:pos="540"/>
          <w:tab w:val="left" w:pos="4590"/>
          <w:tab w:val="left" w:pos="6480"/>
        </w:tabs>
        <w:suppressAutoHyphens/>
        <w:jc w:val="both"/>
        <w:rPr>
          <w:spacing w:val="-3"/>
          <w:szCs w:val="22"/>
          <w:lang w:val="fr-FR"/>
        </w:rPr>
      </w:pPr>
      <w:r>
        <w:rPr>
          <w:spacing w:val="-3"/>
          <w:szCs w:val="22"/>
          <w:lang w:val="fr-FR"/>
        </w:rPr>
        <w:tab/>
      </w:r>
      <w:r>
        <w:rPr>
          <w:spacing w:val="-3"/>
          <w:szCs w:val="22"/>
          <w:lang w:val="fr-FR"/>
        </w:rPr>
        <w:tab/>
      </w:r>
      <w:r>
        <w:rPr>
          <w:spacing w:val="-3"/>
          <w:szCs w:val="22"/>
          <w:lang w:val="fr-FR"/>
        </w:rPr>
        <w:tab/>
        <w:t>St. Louis, MO 63197-9000</w:t>
      </w:r>
    </w:p>
    <w:p w:rsidR="00706BAB" w:rsidRDefault="00706BAB" w:rsidP="00706BAB">
      <w:pPr>
        <w:tabs>
          <w:tab w:val="left" w:pos="-1440"/>
          <w:tab w:val="left" w:pos="-720"/>
          <w:tab w:val="left" w:pos="540"/>
          <w:tab w:val="left" w:pos="4590"/>
          <w:tab w:val="left" w:pos="6480"/>
        </w:tabs>
        <w:suppressAutoHyphens/>
        <w:jc w:val="both"/>
        <w:outlineLvl w:val="0"/>
        <w:rPr>
          <w:b/>
          <w:spacing w:val="-3"/>
          <w:szCs w:val="22"/>
        </w:rPr>
      </w:pPr>
      <w:bookmarkStart w:id="381" w:name="_Toc394672369"/>
      <w:r>
        <w:rPr>
          <w:b/>
          <w:spacing w:val="-3"/>
          <w:szCs w:val="22"/>
        </w:rPr>
        <w:t>TV (47 CFR, part 73)</w:t>
      </w:r>
      <w:bookmarkEnd w:id="381"/>
    </w:p>
    <w:p w:rsidR="00706BAB" w:rsidRDefault="00706BAB" w:rsidP="00706BAB">
      <w:pPr>
        <w:tabs>
          <w:tab w:val="left" w:pos="-1440"/>
          <w:tab w:val="left" w:pos="-720"/>
          <w:tab w:val="left" w:pos="540"/>
          <w:tab w:val="left" w:pos="4590"/>
          <w:tab w:val="left" w:pos="6480"/>
        </w:tabs>
        <w:suppressAutoHyphens/>
        <w:jc w:val="both"/>
        <w:outlineLvl w:val="0"/>
        <w:rPr>
          <w:spacing w:val="-3"/>
          <w:szCs w:val="22"/>
        </w:rPr>
      </w:pPr>
      <w:bookmarkStart w:id="382" w:name="_Toc394672370"/>
      <w:r>
        <w:rPr>
          <w:b/>
          <w:spacing w:val="-3"/>
          <w:szCs w:val="22"/>
        </w:rPr>
        <w:t>Digital TV (UHF and VHF Commercial Stations)</w:t>
      </w:r>
      <w:bookmarkEnd w:id="382"/>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1.</w:t>
      </w:r>
      <w:r>
        <w:rPr>
          <w:spacing w:val="-3"/>
          <w:szCs w:val="22"/>
        </w:rPr>
        <w:tab/>
        <w:t>Markets 1 thru 10</w:t>
      </w:r>
      <w:r>
        <w:rPr>
          <w:spacing w:val="-3"/>
          <w:szCs w:val="22"/>
        </w:rPr>
        <w:tab/>
        <w:t>$44,650</w:t>
      </w:r>
      <w:r>
        <w:rPr>
          <w:spacing w:val="-3"/>
          <w:szCs w:val="22"/>
        </w:rPr>
        <w:tab/>
        <w:t>FCC, TV Branch</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2.</w:t>
      </w:r>
      <w:r>
        <w:rPr>
          <w:spacing w:val="-3"/>
          <w:szCs w:val="22"/>
        </w:rPr>
        <w:tab/>
        <w:t>Markets 11 thru 25</w:t>
      </w:r>
      <w:r>
        <w:rPr>
          <w:spacing w:val="-3"/>
          <w:szCs w:val="22"/>
        </w:rPr>
        <w:tab/>
        <w:t>$42,100</w:t>
      </w:r>
      <w:r>
        <w:rPr>
          <w:spacing w:val="-3"/>
          <w:szCs w:val="22"/>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3.</w:t>
      </w:r>
      <w:r>
        <w:rPr>
          <w:spacing w:val="-3"/>
          <w:szCs w:val="22"/>
        </w:rPr>
        <w:tab/>
        <w:t>Markets 26 thru 50</w:t>
      </w:r>
      <w:r>
        <w:rPr>
          <w:spacing w:val="-3"/>
          <w:szCs w:val="22"/>
        </w:rPr>
        <w:tab/>
        <w:t>$26,975</w:t>
      </w:r>
      <w:r>
        <w:rPr>
          <w:spacing w:val="-3"/>
          <w:szCs w:val="22"/>
        </w:rPr>
        <w:tab/>
        <w:t>St. Louis, MO</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4.</w:t>
      </w:r>
      <w:r>
        <w:rPr>
          <w:spacing w:val="-3"/>
          <w:szCs w:val="22"/>
        </w:rPr>
        <w:tab/>
        <w:t>Markets 51 thru 100</w:t>
      </w:r>
      <w:r>
        <w:rPr>
          <w:spacing w:val="-3"/>
          <w:szCs w:val="22"/>
        </w:rPr>
        <w:tab/>
        <w:t xml:space="preserve">$15,600   </w:t>
      </w:r>
      <w:r>
        <w:rPr>
          <w:spacing w:val="-3"/>
          <w:szCs w:val="22"/>
        </w:rPr>
        <w:tab/>
        <w:t>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5.</w:t>
      </w:r>
      <w:r>
        <w:rPr>
          <w:spacing w:val="-3"/>
          <w:szCs w:val="22"/>
        </w:rPr>
        <w:tab/>
        <w:t>Remaining Markets</w:t>
      </w:r>
      <w:r>
        <w:rPr>
          <w:spacing w:val="-3"/>
          <w:szCs w:val="22"/>
        </w:rPr>
        <w:tab/>
        <w:t>$  4,750</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6.</w:t>
      </w:r>
      <w:r>
        <w:rPr>
          <w:spacing w:val="-3"/>
          <w:szCs w:val="22"/>
        </w:rPr>
        <w:tab/>
        <w:t>Construction Permits</w:t>
      </w:r>
      <w:r>
        <w:rPr>
          <w:spacing w:val="-3"/>
          <w:szCs w:val="22"/>
        </w:rPr>
        <w:tab/>
        <w:t>$  4,750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rPr>
      </w:pPr>
      <w:bookmarkStart w:id="383" w:name="_Toc394672371"/>
      <w:r>
        <w:rPr>
          <w:b/>
          <w:spacing w:val="-3"/>
          <w:szCs w:val="22"/>
        </w:rPr>
        <w:t>Satellite UHF/VHF Commercial</w:t>
      </w:r>
      <w:bookmarkEnd w:id="383"/>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1.</w:t>
      </w:r>
      <w:r>
        <w:rPr>
          <w:spacing w:val="-3"/>
          <w:szCs w:val="22"/>
        </w:rPr>
        <w:tab/>
        <w:t>All Markets</w:t>
      </w:r>
      <w:r>
        <w:rPr>
          <w:spacing w:val="-3"/>
          <w:szCs w:val="22"/>
        </w:rPr>
        <w:tab/>
        <w:t>$1,550</w:t>
      </w:r>
      <w:r>
        <w:rPr>
          <w:spacing w:val="-3"/>
          <w:szCs w:val="22"/>
        </w:rPr>
        <w:tab/>
        <w:t>FCC Satellite TV</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2.</w:t>
      </w:r>
      <w:r>
        <w:rPr>
          <w:spacing w:val="-3"/>
          <w:szCs w:val="22"/>
        </w:rPr>
        <w:tab/>
        <w:t>Construction Permits</w:t>
      </w:r>
      <w:r>
        <w:rPr>
          <w:spacing w:val="-3"/>
          <w:szCs w:val="22"/>
        </w:rPr>
        <w:tab/>
        <w:t>$1,300</w:t>
      </w:r>
      <w:r>
        <w:rPr>
          <w:spacing w:val="-3"/>
          <w:szCs w:val="22"/>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Low Power TV,  Class A TV, TV/FM</w:t>
      </w:r>
      <w:r>
        <w:rPr>
          <w:spacing w:val="-3"/>
          <w:szCs w:val="22"/>
        </w:rPr>
        <w:tab/>
        <w:t>$  410</w:t>
      </w:r>
      <w:r>
        <w:rPr>
          <w:spacing w:val="-3"/>
          <w:szCs w:val="22"/>
        </w:rPr>
        <w:tab/>
        <w:t>FCC, Low Power</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Translator, &amp; TV/FM Booster</w:t>
      </w:r>
      <w:r>
        <w:rPr>
          <w:spacing w:val="-3"/>
          <w:szCs w:val="22"/>
        </w:rPr>
        <w:t xml:space="preserve"> </w:t>
      </w:r>
      <w:r>
        <w:rPr>
          <w:spacing w:val="-3"/>
          <w:szCs w:val="22"/>
        </w:rPr>
        <w:tab/>
      </w:r>
      <w:r>
        <w:rPr>
          <w:spacing w:val="-3"/>
          <w:szCs w:val="22"/>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(47 CFR part 74)</w:t>
      </w:r>
      <w:r>
        <w:rPr>
          <w:spacing w:val="-3"/>
          <w:szCs w:val="22"/>
        </w:rPr>
        <w:tab/>
      </w:r>
      <w:r>
        <w:rPr>
          <w:spacing w:val="-3"/>
          <w:szCs w:val="22"/>
        </w:rPr>
        <w:tab/>
        <w:t>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Broadcast Auxiliary</w:t>
      </w:r>
      <w:r>
        <w:rPr>
          <w:spacing w:val="-3"/>
          <w:szCs w:val="22"/>
        </w:rPr>
        <w:tab/>
        <w:t>$    10</w:t>
      </w:r>
      <w:r>
        <w:rPr>
          <w:spacing w:val="-3"/>
          <w:szCs w:val="22"/>
        </w:rPr>
        <w:tab/>
        <w:t>FCC, Auxiliary</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r>
      <w:r>
        <w:rPr>
          <w:spacing w:val="-3"/>
          <w:szCs w:val="22"/>
        </w:rPr>
        <w:tab/>
      </w:r>
      <w:r>
        <w:rPr>
          <w:spacing w:val="-3"/>
          <w:szCs w:val="22"/>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r>
      <w:r>
        <w:rPr>
          <w:spacing w:val="-3"/>
          <w:szCs w:val="22"/>
        </w:rPr>
        <w:tab/>
      </w:r>
      <w:r>
        <w:rPr>
          <w:spacing w:val="-3"/>
          <w:szCs w:val="22"/>
        </w:rPr>
        <w:tab/>
        <w:t>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 xml:space="preserve">   </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4</w:t>
      </w:r>
      <w:r>
        <w:rPr>
          <w:szCs w:val="22"/>
        </w:rPr>
        <w:t>.   Section 1.1154 is revised to read as follows:</w:t>
      </w:r>
    </w:p>
    <w:p w:rsidR="00706BAB" w:rsidRDefault="00706BAB" w:rsidP="00706BAB">
      <w:pPr>
        <w:pStyle w:val="BodyText"/>
        <w:rPr>
          <w:sz w:val="22"/>
          <w:szCs w:val="22"/>
        </w:rPr>
      </w:pPr>
    </w:p>
    <w:p w:rsidR="00706BAB" w:rsidRDefault="00706BAB" w:rsidP="00706BAB">
      <w:pPr>
        <w:pStyle w:val="BodyText"/>
        <w:rPr>
          <w:sz w:val="22"/>
          <w:szCs w:val="22"/>
        </w:rPr>
      </w:pPr>
      <w:r>
        <w:rPr>
          <w:sz w:val="22"/>
          <w:szCs w:val="22"/>
        </w:rPr>
        <w:t>§ 1.1154  Schedule of annual regulatory charges and filing locations for common carrier services.</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Radio Facilities</w:t>
      </w:r>
      <w:r>
        <w:rPr>
          <w:b/>
          <w:spacing w:val="-3"/>
          <w:szCs w:val="22"/>
        </w:rPr>
        <w:tab/>
        <w:t>Fee Amount</w:t>
      </w:r>
      <w:r>
        <w:rPr>
          <w:b/>
          <w:spacing w:val="-3"/>
          <w:szCs w:val="22"/>
        </w:rPr>
        <w:tab/>
        <w:t>Address</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1.</w:t>
      </w:r>
      <w:r>
        <w:rPr>
          <w:spacing w:val="-3"/>
          <w:szCs w:val="22"/>
        </w:rPr>
        <w:tab/>
        <w:t>Microwave (Domestic Public Fixed)</w:t>
      </w:r>
      <w:r>
        <w:rPr>
          <w:spacing w:val="-3"/>
          <w:szCs w:val="22"/>
        </w:rPr>
        <w:tab/>
        <w:t>$15.00</w:t>
      </w:r>
      <w:r>
        <w:rPr>
          <w:spacing w:val="-3"/>
          <w:szCs w:val="22"/>
        </w:rPr>
        <w:tab/>
        <w:t>FCC</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lastRenderedPageBreak/>
        <w:tab/>
        <w:t>(Electronic Filing)</w:t>
      </w:r>
      <w:r>
        <w:rPr>
          <w:spacing w:val="-3"/>
          <w:szCs w:val="22"/>
        </w:rPr>
        <w:tab/>
      </w:r>
      <w:r>
        <w:rPr>
          <w:spacing w:val="-3"/>
          <w:szCs w:val="22"/>
        </w:rPr>
        <w:tab/>
        <w:t>P.O. Box 979097</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t>(FCC Form 601 &amp; 159)</w:t>
      </w:r>
      <w:r>
        <w:rPr>
          <w:spacing w:val="-3"/>
          <w:szCs w:val="22"/>
        </w:rPr>
        <w:tab/>
      </w:r>
      <w:r>
        <w:rPr>
          <w:spacing w:val="-3"/>
          <w:szCs w:val="22"/>
        </w:rPr>
        <w:tab/>
        <w:t>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outlineLvl w:val="0"/>
        <w:rPr>
          <w:spacing w:val="-3"/>
          <w:szCs w:val="22"/>
        </w:rPr>
      </w:pPr>
      <w:bookmarkStart w:id="384" w:name="_Toc394672372"/>
      <w:r>
        <w:rPr>
          <w:b/>
          <w:spacing w:val="-3"/>
          <w:szCs w:val="22"/>
        </w:rPr>
        <w:t>Carriers</w:t>
      </w:r>
      <w:bookmarkEnd w:id="384"/>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1.</w:t>
      </w:r>
      <w:r>
        <w:rPr>
          <w:spacing w:val="-3"/>
          <w:szCs w:val="22"/>
        </w:rPr>
        <w:tab/>
        <w:t>Interstate Telephone Service Providers</w:t>
      </w:r>
      <w:r>
        <w:rPr>
          <w:spacing w:val="-3"/>
          <w:szCs w:val="22"/>
        </w:rPr>
        <w:tab/>
        <w:t>$   .00343</w:t>
      </w:r>
      <w:r>
        <w:rPr>
          <w:spacing w:val="-3"/>
          <w:szCs w:val="22"/>
        </w:rPr>
        <w:tab/>
        <w:t>FCC, Carriers</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t xml:space="preserve">(per interstate and international end-user </w:t>
      </w:r>
      <w:r>
        <w:rPr>
          <w:spacing w:val="-3"/>
          <w:szCs w:val="22"/>
        </w:rPr>
        <w:tab/>
      </w:r>
      <w:r>
        <w:rPr>
          <w:spacing w:val="-3"/>
          <w:szCs w:val="22"/>
        </w:rPr>
        <w:tab/>
        <w:t>P.O. Box 979084</w:t>
      </w:r>
      <w:r>
        <w:rPr>
          <w:spacing w:val="-3"/>
          <w:szCs w:val="22"/>
        </w:rPr>
        <w:tab/>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t>revenues (see FCC Form 499-A)</w:t>
      </w:r>
      <w:r>
        <w:rPr>
          <w:spacing w:val="-3"/>
          <w:szCs w:val="22"/>
        </w:rPr>
        <w:tab/>
      </w:r>
      <w:r>
        <w:rPr>
          <w:spacing w:val="-3"/>
          <w:szCs w:val="22"/>
        </w:rPr>
        <w:tab/>
        <w:t>St. Louis, MO 63197-9000</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720"/>
          <w:tab w:val="left" w:pos="4590"/>
          <w:tab w:val="left" w:pos="6480"/>
        </w:tabs>
        <w:suppressAutoHyphens/>
        <w:jc w:val="both"/>
        <w:outlineLvl w:val="0"/>
        <w:rPr>
          <w:spacing w:val="-3"/>
          <w:szCs w:val="22"/>
        </w:rPr>
      </w:pPr>
      <w:bookmarkStart w:id="385" w:name="_Toc394672373"/>
      <w:r>
        <w:rPr>
          <w:spacing w:val="-3"/>
          <w:szCs w:val="22"/>
        </w:rPr>
        <w:t>5.   Section 1.1155 is revised to read as follows:</w:t>
      </w:r>
      <w:bookmarkEnd w:id="385"/>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rPr>
          <w:szCs w:val="22"/>
        </w:rPr>
      </w:pPr>
      <w:r>
        <w:rPr>
          <w:szCs w:val="22"/>
        </w:rPr>
        <w:t>§ 1.1155  Schedule of regulatory fees and filing locations for cable television services.</w:t>
      </w:r>
    </w:p>
    <w:p w:rsidR="00706BAB" w:rsidRDefault="00706BAB" w:rsidP="00706BAB">
      <w:pPr>
        <w:tabs>
          <w:tab w:val="left" w:pos="-1440"/>
          <w:tab w:val="left" w:pos="-720"/>
          <w:tab w:val="left" w:pos="540"/>
          <w:tab w:val="left" w:pos="4590"/>
          <w:tab w:val="left" w:pos="6480"/>
        </w:tabs>
        <w:suppressAutoHyphens/>
        <w:jc w:val="both"/>
        <w:rPr>
          <w:b/>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b/>
          <w:spacing w:val="-3"/>
          <w:szCs w:val="22"/>
        </w:rPr>
        <w:tab/>
      </w:r>
      <w:r>
        <w:rPr>
          <w:b/>
          <w:spacing w:val="-3"/>
          <w:szCs w:val="22"/>
        </w:rPr>
        <w:tab/>
        <w:t>Fee Amount</w:t>
      </w:r>
      <w:r>
        <w:rPr>
          <w:b/>
          <w:spacing w:val="-3"/>
          <w:szCs w:val="22"/>
        </w:rPr>
        <w:tab/>
        <w:t>Address</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1.</w:t>
      </w:r>
      <w:r>
        <w:rPr>
          <w:spacing w:val="-3"/>
          <w:szCs w:val="22"/>
        </w:rPr>
        <w:tab/>
        <w:t>Cable Television Relay Service</w:t>
      </w:r>
      <w:r>
        <w:rPr>
          <w:spacing w:val="-3"/>
          <w:szCs w:val="22"/>
        </w:rPr>
        <w:tab/>
        <w:t>$605</w:t>
      </w:r>
      <w:r>
        <w:rPr>
          <w:spacing w:val="-3"/>
          <w:szCs w:val="22"/>
        </w:rPr>
        <w:tab/>
        <w:t>FCC, Cable</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2.</w:t>
      </w:r>
      <w:r>
        <w:rPr>
          <w:spacing w:val="-3"/>
          <w:szCs w:val="22"/>
        </w:rPr>
        <w:tab/>
        <w:t>Cable TV System, Including IPTV</w:t>
      </w:r>
      <w:r>
        <w:rPr>
          <w:spacing w:val="-3"/>
          <w:szCs w:val="22"/>
        </w:rPr>
        <w:tab/>
        <w:t>$   0.99</w:t>
      </w:r>
      <w:r>
        <w:rPr>
          <w:spacing w:val="-3"/>
          <w:szCs w:val="22"/>
        </w:rPr>
        <w:tab/>
        <w:t>P.O. Box 979084</w:t>
      </w:r>
    </w:p>
    <w:p w:rsidR="00706BAB" w:rsidRDefault="00706BAB" w:rsidP="00706BAB">
      <w:pPr>
        <w:tabs>
          <w:tab w:val="left" w:pos="-1440"/>
          <w:tab w:val="left" w:pos="-720"/>
          <w:tab w:val="left" w:pos="540"/>
          <w:tab w:val="left" w:pos="4590"/>
          <w:tab w:val="left" w:pos="6480"/>
        </w:tabs>
        <w:suppressAutoHyphens/>
        <w:jc w:val="both"/>
        <w:rPr>
          <w:spacing w:val="-3"/>
          <w:szCs w:val="22"/>
        </w:rPr>
      </w:pPr>
      <w:r>
        <w:rPr>
          <w:spacing w:val="-3"/>
          <w:szCs w:val="22"/>
        </w:rPr>
        <w:tab/>
        <w:t>(per subscriber)</w:t>
      </w:r>
      <w:r>
        <w:rPr>
          <w:spacing w:val="-3"/>
          <w:szCs w:val="22"/>
        </w:rPr>
        <w:tab/>
        <w:t xml:space="preserve">  </w:t>
      </w:r>
      <w:r>
        <w:rPr>
          <w:spacing w:val="-3"/>
          <w:szCs w:val="22"/>
        </w:rPr>
        <w:tab/>
        <w:t>St. Louis, MO 63197-9000</w:t>
      </w:r>
    </w:p>
    <w:p w:rsidR="00706BAB" w:rsidRDefault="00706BAB" w:rsidP="00706BAB">
      <w:pPr>
        <w:widowControl/>
        <w:rPr>
          <w:spacing w:val="-3"/>
          <w:szCs w:val="22"/>
        </w:rPr>
      </w:pPr>
    </w:p>
    <w:p w:rsidR="00706BAB" w:rsidRDefault="00706BAB" w:rsidP="00706BAB">
      <w:pPr>
        <w:tabs>
          <w:tab w:val="left" w:pos="-1440"/>
          <w:tab w:val="left" w:pos="-720"/>
          <w:tab w:val="left" w:pos="720"/>
          <w:tab w:val="left" w:pos="4590"/>
          <w:tab w:val="left" w:pos="6480"/>
        </w:tabs>
        <w:suppressAutoHyphens/>
        <w:outlineLvl w:val="0"/>
        <w:rPr>
          <w:szCs w:val="22"/>
        </w:rPr>
      </w:pPr>
      <w:bookmarkStart w:id="386" w:name="_Toc394672374"/>
      <w:r>
        <w:rPr>
          <w:szCs w:val="22"/>
        </w:rPr>
        <w:t>6.   Section 1.1156 is revised to read as follows:</w:t>
      </w:r>
      <w:bookmarkEnd w:id="386"/>
    </w:p>
    <w:p w:rsidR="00706BAB" w:rsidRDefault="00706BAB" w:rsidP="00706BAB">
      <w:pPr>
        <w:tabs>
          <w:tab w:val="left" w:pos="-1440"/>
          <w:tab w:val="left" w:pos="-720"/>
          <w:tab w:val="left" w:pos="540"/>
          <w:tab w:val="left" w:pos="4590"/>
          <w:tab w:val="left" w:pos="6480"/>
        </w:tabs>
        <w:suppressAutoHyphens/>
        <w:rPr>
          <w:szCs w:val="22"/>
        </w:rPr>
      </w:pPr>
      <w:r>
        <w:rPr>
          <w:szCs w:val="22"/>
        </w:rPr>
        <w:t xml:space="preserve"> </w:t>
      </w:r>
      <w:r>
        <w:rPr>
          <w:szCs w:val="22"/>
        </w:rPr>
        <w:tab/>
      </w:r>
    </w:p>
    <w:p w:rsidR="00706BAB" w:rsidRDefault="00706BAB" w:rsidP="00706BAB">
      <w:pPr>
        <w:tabs>
          <w:tab w:val="left" w:pos="-1440"/>
          <w:tab w:val="left" w:pos="-720"/>
          <w:tab w:val="left" w:pos="540"/>
          <w:tab w:val="left" w:pos="4590"/>
          <w:tab w:val="left" w:pos="6480"/>
        </w:tabs>
        <w:suppressAutoHyphens/>
        <w:rPr>
          <w:szCs w:val="22"/>
        </w:rPr>
      </w:pPr>
      <w:r>
        <w:rPr>
          <w:szCs w:val="22"/>
        </w:rPr>
        <w:t>§ 1.1156  Schedule of regulatory fees and filing locations for international services.</w:t>
      </w:r>
    </w:p>
    <w:p w:rsidR="00706BAB" w:rsidRDefault="00706BAB" w:rsidP="00706BAB">
      <w:pPr>
        <w:tabs>
          <w:tab w:val="left" w:pos="-1440"/>
          <w:tab w:val="left" w:pos="-720"/>
          <w:tab w:val="left" w:pos="540"/>
          <w:tab w:val="left" w:pos="4590"/>
          <w:tab w:val="left" w:pos="6480"/>
        </w:tabs>
        <w:suppressAutoHyphens/>
        <w:jc w:val="both"/>
        <w:rPr>
          <w:spacing w:val="-3"/>
          <w:szCs w:val="22"/>
        </w:rPr>
      </w:pPr>
    </w:p>
    <w:p w:rsidR="00706BAB" w:rsidRDefault="00706BAB" w:rsidP="00706BAB">
      <w:pPr>
        <w:widowControl/>
        <w:jc w:val="both"/>
        <w:rPr>
          <w:spacing w:val="-3"/>
          <w:kern w:val="0"/>
          <w:sz w:val="24"/>
          <w:szCs w:val="24"/>
        </w:rPr>
      </w:pPr>
      <w:r>
        <w:rPr>
          <w:spacing w:val="-3"/>
          <w:kern w:val="0"/>
          <w:sz w:val="24"/>
          <w:szCs w:val="24"/>
        </w:rPr>
        <w:t>a.         The following schedule applies for the listed services:</w:t>
      </w:r>
    </w:p>
    <w:p w:rsidR="00706BAB" w:rsidRDefault="00706BAB" w:rsidP="00706BAB">
      <w:pPr>
        <w:widowControl/>
        <w:jc w:val="both"/>
        <w:rPr>
          <w:spacing w:val="-3"/>
          <w:kern w:val="0"/>
          <w:sz w:val="24"/>
          <w:szCs w:val="24"/>
        </w:rPr>
      </w:pPr>
    </w:p>
    <w:tbl>
      <w:tblPr>
        <w:tblW w:w="0" w:type="auto"/>
        <w:tblCellMar>
          <w:left w:w="0" w:type="dxa"/>
          <w:right w:w="0" w:type="dxa"/>
        </w:tblCellMar>
        <w:tblLook w:val="0000"/>
      </w:tblPr>
      <w:tblGrid>
        <w:gridCol w:w="3192"/>
        <w:gridCol w:w="3192"/>
        <w:gridCol w:w="3192"/>
      </w:tblGrid>
      <w:tr w:rsidR="00706BAB" w:rsidTr="00EE12B4">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Fee Category</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Fee Amount</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Address</w:t>
            </w:r>
          </w:p>
        </w:tc>
      </w:tr>
      <w:tr w:rsidR="00706BAB" w:rsidTr="00EE12B4">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spacing w:val="-3"/>
                <w:kern w:val="0"/>
                <w:sz w:val="24"/>
                <w:szCs w:val="24"/>
              </w:rPr>
              <w:t>Space Stations (Geostationary Orbit)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p>
          <w:p w:rsidR="00706BAB" w:rsidRDefault="00706BAB" w:rsidP="00EE12B4">
            <w:pPr>
              <w:widowControl/>
              <w:jc w:val="center"/>
              <w:rPr>
                <w:spacing w:val="-3"/>
                <w:kern w:val="0"/>
                <w:sz w:val="24"/>
                <w:szCs w:val="24"/>
              </w:rPr>
            </w:pPr>
            <w:r>
              <w:rPr>
                <w:spacing w:val="-3"/>
                <w:kern w:val="0"/>
                <w:sz w:val="24"/>
                <w:szCs w:val="24"/>
              </w:rPr>
              <w:t>$122,400</w:t>
            </w:r>
          </w:p>
          <w:p w:rsidR="00706BAB" w:rsidRDefault="00706BAB" w:rsidP="00EE12B4">
            <w:pPr>
              <w:widowControl/>
              <w:jc w:val="center"/>
              <w:rPr>
                <w:spacing w:val="-3"/>
                <w:kern w:val="0"/>
                <w:sz w:val="24"/>
                <w:szCs w:val="24"/>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kern w:val="0"/>
                <w:sz w:val="24"/>
                <w:szCs w:val="24"/>
              </w:rPr>
              <w:t>FCC, International, P.O. Box 979084, St. Louis, MO 63197-9000</w:t>
            </w:r>
          </w:p>
        </w:tc>
      </w:tr>
      <w:tr w:rsidR="00706BAB" w:rsidTr="00EE12B4">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spacing w:val="-3"/>
                <w:kern w:val="0"/>
                <w:sz w:val="24"/>
                <w:szCs w:val="24"/>
              </w:rPr>
              <w:t>Space Stations (Non-Geostationary Orbit)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p>
          <w:p w:rsidR="00706BAB" w:rsidRDefault="00706BAB" w:rsidP="00EE12B4">
            <w:pPr>
              <w:widowControl/>
              <w:jc w:val="center"/>
              <w:rPr>
                <w:spacing w:val="-3"/>
                <w:kern w:val="0"/>
                <w:sz w:val="24"/>
                <w:szCs w:val="24"/>
              </w:rPr>
            </w:pPr>
            <w:r>
              <w:rPr>
                <w:spacing w:val="-3"/>
                <w:kern w:val="0"/>
                <w:sz w:val="24"/>
                <w:szCs w:val="24"/>
              </w:rPr>
              <w:t>$132,850</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kern w:val="0"/>
                <w:sz w:val="24"/>
                <w:szCs w:val="24"/>
              </w:rPr>
              <w:t>FCC, International, P.O. Box 979084, St. Louis, MO 63197-9000</w:t>
            </w:r>
          </w:p>
        </w:tc>
      </w:tr>
      <w:tr w:rsidR="00706BAB" w:rsidTr="00EE12B4">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spacing w:val="-3"/>
                <w:kern w:val="0"/>
                <w:sz w:val="24"/>
                <w:szCs w:val="24"/>
              </w:rPr>
              <w:t>Earth Stations:  Transmit/Receive &amp; Transmit only (per authorization  or registration)</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p>
          <w:p w:rsidR="00706BAB" w:rsidRDefault="00706BAB" w:rsidP="00EE12B4">
            <w:pPr>
              <w:widowControl/>
              <w:jc w:val="center"/>
              <w:rPr>
                <w:spacing w:val="-3"/>
                <w:kern w:val="0"/>
                <w:sz w:val="24"/>
                <w:szCs w:val="24"/>
              </w:rPr>
            </w:pPr>
            <w:r>
              <w:rPr>
                <w:spacing w:val="-3"/>
                <w:kern w:val="0"/>
                <w:sz w:val="24"/>
                <w:szCs w:val="24"/>
              </w:rPr>
              <w:t>$295</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kern w:val="0"/>
                <w:sz w:val="24"/>
                <w:szCs w:val="24"/>
              </w:rPr>
              <w:t>FCC, International, P.O. Box 979084, St. Louis, MO 63197-9000</w:t>
            </w:r>
          </w:p>
        </w:tc>
      </w:tr>
    </w:tbl>
    <w:p w:rsidR="00706BAB" w:rsidRDefault="00706BAB" w:rsidP="00706BAB">
      <w:pPr>
        <w:widowControl/>
        <w:rPr>
          <w:spacing w:val="-3"/>
          <w:kern w:val="0"/>
          <w:sz w:val="24"/>
          <w:szCs w:val="24"/>
        </w:rPr>
      </w:pPr>
    </w:p>
    <w:p w:rsidR="00706BAB" w:rsidRDefault="00706BAB" w:rsidP="00706BAB">
      <w:pPr>
        <w:widowControl/>
        <w:rPr>
          <w:spacing w:val="-3"/>
          <w:kern w:val="0"/>
          <w:sz w:val="24"/>
          <w:szCs w:val="24"/>
        </w:rPr>
      </w:pPr>
      <w:r>
        <w:rPr>
          <w:spacing w:val="-3"/>
          <w:kern w:val="0"/>
          <w:sz w:val="24"/>
          <w:szCs w:val="24"/>
        </w:rPr>
        <w:t xml:space="preserve">b.         </w:t>
      </w:r>
      <w:r>
        <w:rPr>
          <w:i/>
          <w:iCs/>
          <w:kern w:val="0"/>
          <w:sz w:val="24"/>
          <w:szCs w:val="24"/>
        </w:rPr>
        <w:t>International Terrestrial and Satellite</w:t>
      </w:r>
      <w:r>
        <w:rPr>
          <w:kern w:val="0"/>
          <w:sz w:val="24"/>
          <w:szCs w:val="24"/>
        </w:rPr>
        <w:t>.  Regulatory fees for International Bearer Circuits are to be paid by facilities-based common carriers that have active (used or leased) international bearer circuits as of December 31 of the prior year in any terrestrial or satellite transmission facility for the provision of service to an end user or resale carrier, which includes active circuits to themselves or to their affiliates.   In addition, non-common carrier satellite operators must pay a fee for each circuit sold or leased to any customer, including themselves or their affiliates, other than an international common carrier authorized by the Commission to provide U.S. international common carrier services.  “Active circuits” for these purposes include backup and redundant circuits.  In addition, whether circuits are used specifically for voice or data is not relevant in determining that they are active circuits.</w:t>
      </w:r>
    </w:p>
    <w:p w:rsidR="00706BAB" w:rsidRDefault="00706BAB" w:rsidP="00706BAB">
      <w:pPr>
        <w:widowControl/>
        <w:rPr>
          <w:spacing w:val="-3"/>
          <w:kern w:val="0"/>
          <w:sz w:val="24"/>
          <w:szCs w:val="24"/>
        </w:rPr>
      </w:pPr>
    </w:p>
    <w:p w:rsidR="00706BAB" w:rsidRDefault="00706BAB" w:rsidP="00320E44">
      <w:pPr>
        <w:widowControl/>
        <w:snapToGrid w:val="0"/>
        <w:rPr>
          <w:kern w:val="0"/>
          <w:sz w:val="24"/>
          <w:szCs w:val="24"/>
        </w:rPr>
      </w:pPr>
      <w:r>
        <w:rPr>
          <w:spacing w:val="-3"/>
          <w:kern w:val="0"/>
          <w:sz w:val="24"/>
          <w:szCs w:val="24"/>
        </w:rPr>
        <w:t>The fee amount, per active 64 KB circuit or equivalent will be determined for each fiscal year.</w:t>
      </w:r>
      <w:r>
        <w:rPr>
          <w:kern w:val="0"/>
          <w:sz w:val="24"/>
          <w:szCs w:val="24"/>
        </w:rPr>
        <w:t xml:space="preserve"> </w:t>
      </w:r>
    </w:p>
    <w:p w:rsidR="00706BAB" w:rsidRDefault="00706BAB" w:rsidP="00706BAB">
      <w:pPr>
        <w:widowControl/>
        <w:snapToGrid w:val="0"/>
        <w:rPr>
          <w:kern w:val="0"/>
          <w:szCs w:val="22"/>
        </w:rPr>
      </w:pPr>
    </w:p>
    <w:tbl>
      <w:tblPr>
        <w:tblW w:w="0" w:type="auto"/>
        <w:tblCellMar>
          <w:left w:w="0" w:type="dxa"/>
          <w:right w:w="0" w:type="dxa"/>
        </w:tblCellMar>
        <w:tblLook w:val="0000"/>
      </w:tblPr>
      <w:tblGrid>
        <w:gridCol w:w="3124"/>
        <w:gridCol w:w="3060"/>
        <w:gridCol w:w="3138"/>
      </w:tblGrid>
      <w:tr w:rsidR="00706BAB" w:rsidTr="00EE12B4">
        <w:trPr>
          <w:trHeight w:val="793"/>
        </w:trPr>
        <w:tc>
          <w:tcPr>
            <w:tcW w:w="3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spacing w:val="-3"/>
                <w:kern w:val="0"/>
                <w:sz w:val="24"/>
                <w:szCs w:val="24"/>
              </w:rPr>
              <w:lastRenderedPageBreak/>
              <w:t xml:space="preserve">International Terrestrial and Satellite </w:t>
            </w:r>
            <w:r>
              <w:rPr>
                <w:kern w:val="0"/>
                <w:sz w:val="24"/>
                <w:szCs w:val="24"/>
              </w:rPr>
              <w:t>(capacity as of December 31, 2013)</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Fee Amount</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Address</w:t>
            </w:r>
          </w:p>
        </w:tc>
      </w:tr>
      <w:tr w:rsidR="00706BAB" w:rsidTr="00EE12B4">
        <w:trPr>
          <w:trHeight w:val="1380"/>
        </w:trPr>
        <w:tc>
          <w:tcPr>
            <w:tcW w:w="3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p>
          <w:p w:rsidR="00706BAB" w:rsidRDefault="00706BAB" w:rsidP="00EE12B4">
            <w:pPr>
              <w:widowControl/>
              <w:jc w:val="both"/>
              <w:rPr>
                <w:spacing w:val="-3"/>
                <w:kern w:val="0"/>
                <w:sz w:val="24"/>
                <w:szCs w:val="24"/>
              </w:rPr>
            </w:pPr>
            <w:r>
              <w:rPr>
                <w:spacing w:val="-3"/>
                <w:kern w:val="0"/>
                <w:sz w:val="24"/>
                <w:szCs w:val="24"/>
              </w:rPr>
              <w:t>Terrestrial Common Carrier</w:t>
            </w:r>
          </w:p>
          <w:p w:rsidR="00706BAB" w:rsidRDefault="00706BAB" w:rsidP="00EE12B4">
            <w:pPr>
              <w:widowControl/>
              <w:jc w:val="both"/>
              <w:rPr>
                <w:spacing w:val="-3"/>
                <w:kern w:val="0"/>
                <w:sz w:val="24"/>
                <w:szCs w:val="24"/>
              </w:rPr>
            </w:pPr>
            <w:r>
              <w:rPr>
                <w:spacing w:val="-3"/>
                <w:kern w:val="0"/>
                <w:sz w:val="24"/>
                <w:szCs w:val="24"/>
              </w:rPr>
              <w:t>Satellite Common Carrier</w:t>
            </w:r>
          </w:p>
          <w:p w:rsidR="00706BAB" w:rsidRDefault="00706BAB" w:rsidP="00EE12B4">
            <w:pPr>
              <w:widowControl/>
              <w:jc w:val="both"/>
              <w:rPr>
                <w:spacing w:val="-3"/>
                <w:kern w:val="0"/>
                <w:sz w:val="24"/>
                <w:szCs w:val="24"/>
              </w:rPr>
            </w:pPr>
            <w:r>
              <w:rPr>
                <w:spacing w:val="-3"/>
                <w:kern w:val="0"/>
                <w:sz w:val="24"/>
                <w:szCs w:val="24"/>
              </w:rPr>
              <w:t>Satellite Non-Common Carrier</w:t>
            </w:r>
          </w:p>
          <w:p w:rsidR="00706BAB" w:rsidRDefault="00706BAB" w:rsidP="00EE12B4">
            <w:pPr>
              <w:widowControl/>
              <w:jc w:val="both"/>
              <w:rPr>
                <w:spacing w:val="-3"/>
                <w:kern w:val="0"/>
                <w:sz w:val="24"/>
                <w:szCs w:val="24"/>
              </w:rPr>
            </w:pPr>
          </w:p>
        </w:tc>
        <w:tc>
          <w:tcPr>
            <w:tcW w:w="30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spacing w:val="-3"/>
                <w:kern w:val="0"/>
                <w:sz w:val="24"/>
                <w:szCs w:val="24"/>
              </w:rPr>
            </w:pPr>
            <w:r>
              <w:rPr>
                <w:kern w:val="0"/>
                <w:sz w:val="24"/>
                <w:szCs w:val="24"/>
              </w:rPr>
              <w:t>$0.21 per 64 KB Circuit</w:t>
            </w:r>
          </w:p>
        </w:tc>
        <w:tc>
          <w:tcPr>
            <w:tcW w:w="3138"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rPr>
                <w:kern w:val="0"/>
                <w:sz w:val="24"/>
                <w:szCs w:val="24"/>
              </w:rPr>
            </w:pPr>
          </w:p>
          <w:p w:rsidR="00706BAB" w:rsidRDefault="00706BAB" w:rsidP="00EE12B4">
            <w:pPr>
              <w:widowControl/>
              <w:rPr>
                <w:kern w:val="0"/>
                <w:sz w:val="24"/>
                <w:szCs w:val="24"/>
              </w:rPr>
            </w:pPr>
            <w:r>
              <w:rPr>
                <w:kern w:val="0"/>
                <w:sz w:val="24"/>
                <w:szCs w:val="24"/>
              </w:rPr>
              <w:t>FCC, International, P.O. Box 979084, St. Louis, MO 63197-9000</w:t>
            </w:r>
          </w:p>
        </w:tc>
      </w:tr>
    </w:tbl>
    <w:p w:rsidR="00706BAB" w:rsidRDefault="00706BAB" w:rsidP="00706BAB">
      <w:pPr>
        <w:widowControl/>
        <w:rPr>
          <w:kern w:val="0"/>
          <w:szCs w:val="22"/>
        </w:rPr>
      </w:pPr>
    </w:p>
    <w:p w:rsidR="00706BAB" w:rsidRDefault="00706BAB" w:rsidP="00706BAB">
      <w:pPr>
        <w:widowControl/>
        <w:rPr>
          <w:kern w:val="0"/>
          <w:sz w:val="24"/>
          <w:szCs w:val="24"/>
        </w:rPr>
      </w:pPr>
      <w:r>
        <w:rPr>
          <w:kern w:val="0"/>
          <w:sz w:val="24"/>
          <w:szCs w:val="24"/>
        </w:rPr>
        <w:t xml:space="preserve">c.         </w:t>
      </w:r>
      <w:r>
        <w:rPr>
          <w:i/>
          <w:iCs/>
          <w:kern w:val="0"/>
          <w:sz w:val="24"/>
          <w:szCs w:val="24"/>
        </w:rPr>
        <w:t xml:space="preserve">Submarine cable:  </w:t>
      </w:r>
      <w:r>
        <w:rPr>
          <w:kern w:val="0"/>
          <w:sz w:val="24"/>
          <w:szCs w:val="24"/>
        </w:rPr>
        <w:t xml:space="preserve">Regulatory fees for submarine cable systems will be paid annually, per cable landing license, for all submarine cable systems operating as of December 31 of the prior year.  The fee amount will be determined by the Commission for each fiscal year.  </w:t>
      </w:r>
    </w:p>
    <w:p w:rsidR="00706BAB" w:rsidRDefault="00706BAB" w:rsidP="00706BAB">
      <w:pPr>
        <w:widowControl/>
        <w:rPr>
          <w:kern w:val="0"/>
          <w:sz w:val="24"/>
          <w:szCs w:val="24"/>
        </w:rPr>
      </w:pPr>
    </w:p>
    <w:tbl>
      <w:tblPr>
        <w:tblW w:w="10008" w:type="dxa"/>
        <w:tblCellMar>
          <w:left w:w="0" w:type="dxa"/>
          <w:right w:w="0" w:type="dxa"/>
        </w:tblCellMar>
        <w:tblLook w:val="0000"/>
      </w:tblPr>
      <w:tblGrid>
        <w:gridCol w:w="3192"/>
        <w:gridCol w:w="3192"/>
        <w:gridCol w:w="3624"/>
      </w:tblGrid>
      <w:tr w:rsidR="00706BAB" w:rsidTr="00CC0EAD">
        <w:trPr>
          <w:trHeight w:val="700"/>
        </w:trPr>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spacing w:val="-3"/>
                <w:kern w:val="0"/>
                <w:sz w:val="24"/>
                <w:szCs w:val="24"/>
              </w:rPr>
              <w:t>Submarine Cable Systems</w:t>
            </w:r>
          </w:p>
          <w:p w:rsidR="00706BAB" w:rsidRDefault="00706BAB" w:rsidP="00EE12B4">
            <w:pPr>
              <w:widowControl/>
              <w:jc w:val="both"/>
              <w:rPr>
                <w:spacing w:val="-3"/>
                <w:kern w:val="0"/>
                <w:sz w:val="24"/>
                <w:szCs w:val="24"/>
              </w:rPr>
            </w:pPr>
            <w:r>
              <w:rPr>
                <w:kern w:val="0"/>
                <w:sz w:val="24"/>
                <w:szCs w:val="24"/>
              </w:rPr>
              <w:t>(capacity as of Dec. 31, 2013)</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center"/>
              <w:rPr>
                <w:spacing w:val="-3"/>
                <w:kern w:val="0"/>
                <w:sz w:val="24"/>
                <w:szCs w:val="24"/>
              </w:rPr>
            </w:pPr>
            <w:r>
              <w:rPr>
                <w:spacing w:val="-3"/>
                <w:kern w:val="0"/>
                <w:sz w:val="24"/>
                <w:szCs w:val="24"/>
              </w:rPr>
              <w:t>Fee Amount</w:t>
            </w:r>
          </w:p>
        </w:tc>
        <w:tc>
          <w:tcPr>
            <w:tcW w:w="362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spacing w:val="-3"/>
                <w:kern w:val="0"/>
                <w:sz w:val="24"/>
                <w:szCs w:val="24"/>
              </w:rPr>
              <w:t>Address</w:t>
            </w:r>
          </w:p>
        </w:tc>
      </w:tr>
      <w:tr w:rsidR="00706BAB" w:rsidTr="00CC0EAD">
        <w:trPr>
          <w:trHeight w:val="1069"/>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jc w:val="both"/>
              <w:rPr>
                <w:spacing w:val="-3"/>
                <w:kern w:val="0"/>
                <w:sz w:val="24"/>
                <w:szCs w:val="24"/>
              </w:rPr>
            </w:pPr>
            <w:r>
              <w:rPr>
                <w:kern w:val="0"/>
                <w:sz w:val="24"/>
                <w:szCs w:val="24"/>
              </w:rPr>
              <w:t>&lt; 2.5 Gbps</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spacing w:val="-3"/>
                <w:kern w:val="0"/>
                <w:sz w:val="24"/>
                <w:szCs w:val="24"/>
              </w:rPr>
            </w:pPr>
            <w:r>
              <w:rPr>
                <w:kern w:val="0"/>
                <w:sz w:val="24"/>
                <w:szCs w:val="24"/>
              </w:rPr>
              <w:t>$10,250</w:t>
            </w: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2D329B" w:rsidRDefault="002D329B" w:rsidP="002D329B">
            <w:pPr>
              <w:widowControl/>
              <w:rPr>
                <w:kern w:val="0"/>
                <w:sz w:val="24"/>
                <w:szCs w:val="24"/>
              </w:rPr>
            </w:pPr>
            <w:r>
              <w:rPr>
                <w:kern w:val="0"/>
                <w:sz w:val="24"/>
                <w:szCs w:val="24"/>
              </w:rPr>
              <w:t>FCC, International, P.O. Box 979084, St. Louis, MO 63197-9000</w:t>
            </w:r>
          </w:p>
          <w:p w:rsidR="00706BAB" w:rsidRDefault="00706BAB" w:rsidP="00EE12B4">
            <w:pPr>
              <w:widowControl/>
              <w:rPr>
                <w:kern w:val="0"/>
                <w:sz w:val="24"/>
                <w:szCs w:val="24"/>
              </w:rPr>
            </w:pPr>
          </w:p>
          <w:p w:rsidR="00706BAB" w:rsidRDefault="00706BAB" w:rsidP="00320E44">
            <w:pPr>
              <w:widowControl/>
              <w:rPr>
                <w:spacing w:val="-3"/>
                <w:kern w:val="0"/>
                <w:sz w:val="24"/>
                <w:szCs w:val="24"/>
              </w:rPr>
            </w:pPr>
          </w:p>
        </w:tc>
      </w:tr>
      <w:tr w:rsidR="00706BAB" w:rsidTr="00CC0EAD">
        <w:trPr>
          <w:trHeight w:val="1195"/>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kern w:val="0"/>
                <w:sz w:val="24"/>
                <w:szCs w:val="24"/>
              </w:rPr>
              <w:t>2.5 Gbps or greater, but less than 5 Gbps</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kern w:val="0"/>
                <w:sz w:val="24"/>
                <w:szCs w:val="24"/>
              </w:rPr>
            </w:pPr>
            <w:r>
              <w:rPr>
                <w:kern w:val="0"/>
                <w:sz w:val="24"/>
                <w:szCs w:val="24"/>
              </w:rPr>
              <w:t>$20,500</w:t>
            </w:r>
          </w:p>
          <w:p w:rsidR="00706BAB" w:rsidRDefault="00706BAB" w:rsidP="00EE12B4">
            <w:pPr>
              <w:widowControl/>
              <w:jc w:val="center"/>
              <w:rPr>
                <w:spacing w:val="-3"/>
                <w:kern w:val="0"/>
                <w:sz w:val="24"/>
                <w:szCs w:val="24"/>
              </w:rPr>
            </w:pP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p>
          <w:p w:rsidR="00706BAB" w:rsidRDefault="00706BAB" w:rsidP="00EE12B4">
            <w:pPr>
              <w:widowControl/>
              <w:rPr>
                <w:kern w:val="0"/>
                <w:sz w:val="24"/>
                <w:szCs w:val="24"/>
              </w:rPr>
            </w:pPr>
            <w:r>
              <w:rPr>
                <w:kern w:val="0"/>
                <w:sz w:val="24"/>
                <w:szCs w:val="24"/>
              </w:rPr>
              <w:t>FCC, International, P.O. Box 979084, St. Louis, MO 63197-9000</w:t>
            </w:r>
          </w:p>
          <w:p w:rsidR="00706BAB" w:rsidRDefault="00706BAB" w:rsidP="00EE12B4">
            <w:pPr>
              <w:widowControl/>
              <w:jc w:val="both"/>
              <w:rPr>
                <w:spacing w:val="-3"/>
                <w:kern w:val="0"/>
                <w:sz w:val="24"/>
                <w:szCs w:val="24"/>
              </w:rPr>
            </w:pPr>
          </w:p>
        </w:tc>
      </w:tr>
      <w:tr w:rsidR="00706BAB" w:rsidTr="00CC0EA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kern w:val="0"/>
                <w:sz w:val="24"/>
                <w:szCs w:val="24"/>
              </w:rPr>
              <w:t>5 Gbps or greater, but less than 10 Gbps</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kern w:val="0"/>
                <w:sz w:val="24"/>
                <w:szCs w:val="24"/>
              </w:rPr>
            </w:pPr>
            <w:r>
              <w:rPr>
                <w:kern w:val="0"/>
                <w:sz w:val="24"/>
                <w:szCs w:val="24"/>
              </w:rPr>
              <w:t xml:space="preserve">$40,975 </w:t>
            </w:r>
          </w:p>
          <w:p w:rsidR="00706BAB" w:rsidRDefault="00706BAB" w:rsidP="00EE12B4">
            <w:pPr>
              <w:widowControl/>
              <w:jc w:val="center"/>
              <w:rPr>
                <w:spacing w:val="-3"/>
                <w:kern w:val="0"/>
                <w:sz w:val="24"/>
                <w:szCs w:val="24"/>
              </w:rPr>
            </w:pP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p>
          <w:p w:rsidR="00706BAB" w:rsidRDefault="00706BAB" w:rsidP="00EE12B4">
            <w:pPr>
              <w:widowControl/>
              <w:rPr>
                <w:kern w:val="0"/>
                <w:sz w:val="24"/>
                <w:szCs w:val="24"/>
              </w:rPr>
            </w:pPr>
            <w:r>
              <w:rPr>
                <w:kern w:val="0"/>
                <w:sz w:val="24"/>
                <w:szCs w:val="24"/>
              </w:rPr>
              <w:t>FCC, International, P.O. Box 979084, St. Louis, MO 63197-9000</w:t>
            </w:r>
          </w:p>
          <w:p w:rsidR="00706BAB" w:rsidRDefault="00706BAB" w:rsidP="00EE12B4">
            <w:pPr>
              <w:widowControl/>
              <w:jc w:val="both"/>
              <w:rPr>
                <w:spacing w:val="-3"/>
                <w:kern w:val="0"/>
                <w:sz w:val="24"/>
                <w:szCs w:val="24"/>
              </w:rPr>
            </w:pPr>
          </w:p>
        </w:tc>
      </w:tr>
      <w:tr w:rsidR="00706BAB" w:rsidTr="00CC0EA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kern w:val="0"/>
                <w:sz w:val="24"/>
                <w:szCs w:val="24"/>
              </w:rPr>
              <w:t>10 Gbps or greater, but less than 20 Gbps</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kern w:val="0"/>
                <w:sz w:val="24"/>
                <w:szCs w:val="24"/>
              </w:rPr>
            </w:pPr>
            <w:r>
              <w:rPr>
                <w:kern w:val="0"/>
                <w:sz w:val="24"/>
                <w:szCs w:val="24"/>
              </w:rPr>
              <w:t xml:space="preserve">$81,950 </w:t>
            </w:r>
          </w:p>
          <w:p w:rsidR="00706BAB" w:rsidRDefault="00706BAB" w:rsidP="00EE12B4">
            <w:pPr>
              <w:widowControl/>
              <w:jc w:val="center"/>
              <w:rPr>
                <w:spacing w:val="-3"/>
                <w:kern w:val="0"/>
                <w:sz w:val="24"/>
                <w:szCs w:val="24"/>
              </w:rPr>
            </w:pP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706BAB" w:rsidRDefault="00706BAB" w:rsidP="00EE12B4">
            <w:pPr>
              <w:widowControl/>
              <w:rPr>
                <w:spacing w:val="-3"/>
                <w:kern w:val="0"/>
                <w:sz w:val="24"/>
                <w:szCs w:val="24"/>
              </w:rPr>
            </w:pPr>
            <w:r>
              <w:rPr>
                <w:spacing w:val="-3"/>
                <w:kern w:val="0"/>
                <w:sz w:val="24"/>
                <w:szCs w:val="24"/>
              </w:rPr>
              <w:t> </w:t>
            </w:r>
          </w:p>
          <w:p w:rsidR="00706BAB" w:rsidRDefault="00706BAB" w:rsidP="00EE12B4">
            <w:pPr>
              <w:widowControl/>
              <w:rPr>
                <w:spacing w:val="-3"/>
                <w:kern w:val="0"/>
                <w:sz w:val="24"/>
                <w:szCs w:val="24"/>
              </w:rPr>
            </w:pPr>
            <w:r>
              <w:rPr>
                <w:kern w:val="0"/>
                <w:sz w:val="24"/>
                <w:szCs w:val="24"/>
              </w:rPr>
              <w:t>FCC, International, P.O. Box 979084, St. Louis, MO 63197-9000</w:t>
            </w:r>
          </w:p>
          <w:p w:rsidR="00706BAB" w:rsidRDefault="00706BAB" w:rsidP="00EE12B4">
            <w:pPr>
              <w:widowControl/>
              <w:jc w:val="both"/>
              <w:rPr>
                <w:spacing w:val="-3"/>
                <w:kern w:val="0"/>
                <w:sz w:val="24"/>
                <w:szCs w:val="24"/>
              </w:rPr>
            </w:pPr>
          </w:p>
        </w:tc>
      </w:tr>
      <w:tr w:rsidR="00706BAB" w:rsidTr="00CC0EAD">
        <w:trPr>
          <w:trHeight w:val="682"/>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BAB" w:rsidRDefault="00706BAB" w:rsidP="00EE12B4">
            <w:pPr>
              <w:widowControl/>
              <w:rPr>
                <w:kern w:val="0"/>
                <w:sz w:val="24"/>
                <w:szCs w:val="24"/>
              </w:rPr>
            </w:pPr>
            <w:r>
              <w:rPr>
                <w:kern w:val="0"/>
                <w:sz w:val="24"/>
                <w:szCs w:val="24"/>
              </w:rPr>
              <w:t>20 Gbps or greater</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706BAB" w:rsidRDefault="00706BAB" w:rsidP="00EE12B4">
            <w:pPr>
              <w:widowControl/>
              <w:jc w:val="center"/>
              <w:rPr>
                <w:kern w:val="0"/>
                <w:sz w:val="24"/>
                <w:szCs w:val="24"/>
              </w:rPr>
            </w:pPr>
            <w:r>
              <w:rPr>
                <w:kern w:val="0"/>
                <w:sz w:val="24"/>
                <w:szCs w:val="24"/>
              </w:rPr>
              <w:t xml:space="preserve">$163,900 </w:t>
            </w:r>
          </w:p>
          <w:p w:rsidR="00706BAB" w:rsidRDefault="00706BAB" w:rsidP="00EE12B4">
            <w:pPr>
              <w:widowControl/>
              <w:jc w:val="center"/>
              <w:rPr>
                <w:spacing w:val="-3"/>
                <w:kern w:val="0"/>
                <w:sz w:val="24"/>
                <w:szCs w:val="24"/>
              </w:rPr>
            </w:pPr>
          </w:p>
        </w:tc>
        <w:tc>
          <w:tcPr>
            <w:tcW w:w="3624" w:type="dxa"/>
            <w:tcBorders>
              <w:top w:val="nil"/>
              <w:left w:val="nil"/>
              <w:bottom w:val="single" w:sz="8" w:space="0" w:color="auto"/>
              <w:right w:val="single" w:sz="8" w:space="0" w:color="auto"/>
            </w:tcBorders>
            <w:tcMar>
              <w:top w:w="0" w:type="dxa"/>
              <w:left w:w="108" w:type="dxa"/>
              <w:bottom w:w="0" w:type="dxa"/>
              <w:right w:w="108" w:type="dxa"/>
            </w:tcMar>
          </w:tcPr>
          <w:p w:rsidR="00706BAB" w:rsidRDefault="001C6370" w:rsidP="00EE12B4">
            <w:pPr>
              <w:widowControl/>
              <w:rPr>
                <w:kern w:val="0"/>
                <w:sz w:val="24"/>
                <w:szCs w:val="24"/>
              </w:rPr>
            </w:pPr>
            <w:r>
              <w:rPr>
                <w:kern w:val="0"/>
                <w:sz w:val="24"/>
                <w:szCs w:val="24"/>
              </w:rPr>
              <w:t>FCC, International, P.O. Box</w:t>
            </w:r>
          </w:p>
          <w:p w:rsidR="00706BAB" w:rsidRDefault="00706BAB" w:rsidP="00EE12B4">
            <w:pPr>
              <w:widowControl/>
              <w:rPr>
                <w:kern w:val="0"/>
                <w:sz w:val="24"/>
                <w:szCs w:val="24"/>
              </w:rPr>
            </w:pPr>
            <w:r>
              <w:rPr>
                <w:kern w:val="0"/>
                <w:sz w:val="24"/>
                <w:szCs w:val="24"/>
              </w:rPr>
              <w:t>979084, St. Louis, MO 63197-9000</w:t>
            </w:r>
          </w:p>
          <w:p w:rsidR="00706BAB" w:rsidRDefault="00706BAB" w:rsidP="00EE12B4">
            <w:pPr>
              <w:widowControl/>
              <w:rPr>
                <w:spacing w:val="-3"/>
                <w:kern w:val="0"/>
                <w:sz w:val="24"/>
                <w:szCs w:val="24"/>
              </w:rPr>
            </w:pPr>
          </w:p>
        </w:tc>
      </w:tr>
    </w:tbl>
    <w:p w:rsidR="00706BAB" w:rsidRDefault="00706BAB" w:rsidP="00706BAB"/>
    <w:p w:rsidR="00CC56FF" w:rsidRPr="007521D5" w:rsidRDefault="00CC56FF" w:rsidP="00264877">
      <w:pPr>
        <w:pStyle w:val="Heading1"/>
        <w:widowControl/>
        <w:numPr>
          <w:ilvl w:val="0"/>
          <w:numId w:val="0"/>
        </w:numPr>
        <w:ind w:left="720"/>
        <w:rPr>
          <w:spacing w:val="-2"/>
          <w:szCs w:val="22"/>
        </w:rPr>
      </w:pPr>
    </w:p>
    <w:sectPr w:rsidR="00CC56FF" w:rsidRPr="007521D5" w:rsidSect="00DD2A3A">
      <w:footnotePr>
        <w:numRestart w:val="eachSect"/>
      </w:footnotePr>
      <w:pgSz w:w="12240" w:h="15840"/>
      <w:pgMar w:top="1092" w:right="1440" w:bottom="72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DB" w:rsidRDefault="009A74DB">
      <w:r>
        <w:separator/>
      </w:r>
    </w:p>
  </w:endnote>
  <w:endnote w:type="continuationSeparator" w:id="0">
    <w:p w:rsidR="009A74DB" w:rsidRDefault="009A74DB">
      <w:r>
        <w:continuationSeparator/>
      </w:r>
    </w:p>
  </w:endnote>
  <w:endnote w:type="continuationNotice" w:id="1">
    <w:p w:rsidR="009A74DB" w:rsidRDefault="009A74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MDAA K+ Century">
    <w:altName w:val="Centu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55" w:rsidRDefault="00722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034669"/>
      <w:docPartObj>
        <w:docPartGallery w:val="Page Numbers (Bottom of Page)"/>
        <w:docPartUnique/>
      </w:docPartObj>
    </w:sdtPr>
    <w:sdtEndPr>
      <w:rPr>
        <w:noProof/>
      </w:rPr>
    </w:sdtEndPr>
    <w:sdtContent>
      <w:p w:rsidR="000B11BA" w:rsidRDefault="001A7F66">
        <w:pPr>
          <w:pStyle w:val="Footer"/>
          <w:jc w:val="center"/>
        </w:pPr>
        <w:r>
          <w:fldChar w:fldCharType="begin"/>
        </w:r>
        <w:r w:rsidR="000B11BA">
          <w:instrText xml:space="preserve"> PAGE   \* MERGEFORMAT </w:instrText>
        </w:r>
        <w:r>
          <w:fldChar w:fldCharType="separate"/>
        </w:r>
        <w:r w:rsidR="00951AB4">
          <w:rPr>
            <w:noProof/>
          </w:rPr>
          <w:t>2</w:t>
        </w:r>
        <w:r>
          <w:rPr>
            <w:noProof/>
          </w:rPr>
          <w:fldChar w:fldCharType="end"/>
        </w:r>
      </w:p>
    </w:sdtContent>
  </w:sdt>
  <w:p w:rsidR="00DD2A3A" w:rsidRDefault="00DD2A3A" w:rsidP="00B32272">
    <w:pPr>
      <w:pStyle w:val="Footer"/>
      <w:jc w:val="center"/>
      <w:rPr>
        <w:noProo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E5" w:rsidRDefault="008938E5">
    <w:pPr>
      <w:pStyle w:val="Footer"/>
      <w:jc w:val="center"/>
    </w:pPr>
  </w:p>
  <w:p w:rsidR="008938E5" w:rsidRDefault="00893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DB" w:rsidRDefault="009A74DB">
      <w:pPr>
        <w:rPr>
          <w:sz w:val="20"/>
        </w:rPr>
      </w:pPr>
      <w:r>
        <w:rPr>
          <w:sz w:val="20"/>
        </w:rPr>
        <w:separator/>
      </w:r>
    </w:p>
    <w:p w:rsidR="009A74DB" w:rsidRDefault="009A74DB"/>
  </w:footnote>
  <w:footnote w:type="continuationSeparator" w:id="0">
    <w:p w:rsidR="009A74DB" w:rsidRDefault="009A74DB" w:rsidP="00B10D7D">
      <w:pPr>
        <w:rPr>
          <w:sz w:val="20"/>
        </w:rPr>
      </w:pPr>
      <w:r w:rsidRPr="00B10D7D">
        <w:rPr>
          <w:sz w:val="20"/>
        </w:rPr>
        <w:t xml:space="preserve">(Continued from previous page) </w:t>
      </w:r>
      <w:r>
        <w:rPr>
          <w:sz w:val="20"/>
        </w:rPr>
        <w:separator/>
      </w:r>
    </w:p>
    <w:p w:rsidR="009A74DB" w:rsidRDefault="009A74DB">
      <w:pPr>
        <w:rPr>
          <w:sz w:val="20"/>
        </w:rPr>
      </w:pPr>
      <w:r w:rsidRPr="00B10D7D">
        <w:rPr>
          <w:sz w:val="20"/>
        </w:rPr>
        <w:t xml:space="preserve">   </w:t>
      </w:r>
    </w:p>
  </w:footnote>
  <w:footnote w:type="continuationNotice" w:id="1">
    <w:p w:rsidR="009A74DB" w:rsidRDefault="009A74DB">
      <w:pPr>
        <w:jc w:val="right"/>
        <w:rPr>
          <w:sz w:val="20"/>
        </w:rPr>
      </w:pPr>
      <w:r>
        <w:rPr>
          <w:sz w:val="20"/>
        </w:rPr>
        <w:t>(Continued....)</w:t>
      </w:r>
    </w:p>
  </w:footnote>
  <w:footnote w:id="2">
    <w:p w:rsidR="00DD2A3A" w:rsidRDefault="00DD2A3A" w:rsidP="007F2719">
      <w:pPr>
        <w:pStyle w:val="FootnoteText"/>
        <w:spacing w:before="120" w:after="0"/>
      </w:pPr>
      <w:r>
        <w:rPr>
          <w:rStyle w:val="FootnoteReference"/>
        </w:rPr>
        <w:footnoteRef/>
      </w:r>
      <w:r>
        <w:t xml:space="preserve"> </w:t>
      </w:r>
      <w:r w:rsidRPr="000842AE">
        <w:rPr>
          <w:szCs w:val="22"/>
        </w:rPr>
        <w:t>Section</w:t>
      </w:r>
      <w:r w:rsidRPr="001144AB">
        <w:rPr>
          <w:szCs w:val="22"/>
        </w:rPr>
        <w:t xml:space="preserve"> 9 regulatory fees are mandated by Congress and collected to recover the regulatory costs associated with the Commission’s enforcement, policy and rulemaking, user information, and international activities</w:t>
      </w:r>
      <w:r>
        <w:rPr>
          <w:szCs w:val="22"/>
        </w:rPr>
        <w:t>.</w:t>
      </w:r>
      <w:r w:rsidRPr="00745D9D">
        <w:rPr>
          <w:color w:val="000000"/>
        </w:rPr>
        <w:t xml:space="preserve"> </w:t>
      </w:r>
      <w:r w:rsidRPr="00A1103B">
        <w:rPr>
          <w:color w:val="000000"/>
        </w:rPr>
        <w:t>47 U.S.C. § 159(a).</w:t>
      </w:r>
      <w:r>
        <w:rPr>
          <w:color w:val="000000"/>
        </w:rPr>
        <w:t xml:space="preserve">  In FY 2013, the Commission was also required to collect $339,844,000 in regulatory fees.  The final collection amount was $10.9 million over this total, which the Commission deposited in the U.S. Treasury.  The year-to-date accumulated total is $81.9 million.</w:t>
      </w:r>
    </w:p>
  </w:footnote>
  <w:footnote w:id="3">
    <w:p w:rsidR="00DD2A3A" w:rsidRDefault="00DD2A3A" w:rsidP="00DB15BE">
      <w:pPr>
        <w:pStyle w:val="FootnoteText"/>
        <w:spacing w:before="120" w:after="0"/>
      </w:pPr>
      <w:r>
        <w:rPr>
          <w:rStyle w:val="FootnoteReference"/>
        </w:rPr>
        <w:footnoteRef/>
      </w:r>
      <w:r>
        <w:t xml:space="preserve"> </w:t>
      </w:r>
      <w:r w:rsidRPr="001163F6">
        <w:rPr>
          <w:i/>
        </w:rPr>
        <w:t>Assessment and Collection of Regulatory Fees for Fiscal Year 201</w:t>
      </w:r>
      <w:r>
        <w:rPr>
          <w:i/>
        </w:rPr>
        <w:t>4</w:t>
      </w:r>
      <w:r>
        <w:t>, Notice of Proposed Rulemaking, Second Further Notice of Proposed Rulemaking, and Order, MD Docket Nos. 14-92, 13-140, and 12-201, 29 FCC Rcd 6417 (2014) (</w:t>
      </w:r>
      <w:r w:rsidRPr="004E438E">
        <w:rPr>
          <w:i/>
        </w:rPr>
        <w:t>FY 2014 NPRM</w:t>
      </w:r>
      <w:r>
        <w:t xml:space="preserve">).  </w:t>
      </w:r>
    </w:p>
  </w:footnote>
  <w:footnote w:id="4">
    <w:p w:rsidR="00DD2A3A" w:rsidRDefault="00DD2A3A" w:rsidP="00177232">
      <w:pPr>
        <w:pStyle w:val="FootnoteText"/>
        <w:spacing w:before="120" w:after="0"/>
      </w:pPr>
      <w:r>
        <w:rPr>
          <w:rStyle w:val="FootnoteReference"/>
        </w:rPr>
        <w:footnoteRef/>
      </w:r>
      <w:r>
        <w:t xml:space="preserve"> 47 U.S.C. § 159(b)(1)(B).</w:t>
      </w:r>
    </w:p>
  </w:footnote>
  <w:footnote w:id="5">
    <w:p w:rsidR="00DD2A3A" w:rsidRDefault="00DD2A3A" w:rsidP="004B2DB8">
      <w:pPr>
        <w:pStyle w:val="FootnoteText"/>
        <w:spacing w:before="120" w:after="0"/>
      </w:pPr>
      <w:r>
        <w:rPr>
          <w:rStyle w:val="FootnoteReference"/>
        </w:rPr>
        <w:footnoteRef/>
      </w:r>
      <w:r>
        <w:t xml:space="preserve"> O</w:t>
      </w:r>
      <w:r w:rsidRPr="006A303E">
        <w:t>ne FTE</w:t>
      </w:r>
      <w:r>
        <w:t>, a “Full Time Equivalent” or “Full Time Employee,”</w:t>
      </w:r>
      <w:r w:rsidRPr="006A303E">
        <w:t xml:space="preserve"> is a unit of measure equal to the work performed annually by a full ti</w:t>
      </w:r>
      <w:r>
        <w:t>me</w:t>
      </w:r>
      <w:r w:rsidRPr="006A303E">
        <w:t xml:space="preserve"> person </w:t>
      </w:r>
      <w:r>
        <w:t xml:space="preserve">(working a 40 hour workweek for a full year) </w:t>
      </w:r>
      <w:r w:rsidRPr="006A303E">
        <w:t>assigned to the particular</w:t>
      </w:r>
      <w:r>
        <w:t xml:space="preserve"> job</w:t>
      </w:r>
      <w:r w:rsidRPr="006A303E">
        <w:t>, and subject to agency personnel staffing limitations established by the U.S. Office of Management and Budget.</w:t>
      </w:r>
    </w:p>
  </w:footnote>
  <w:footnote w:id="6">
    <w:p w:rsidR="00DD2A3A" w:rsidRPr="00A1103B" w:rsidRDefault="00DD2A3A" w:rsidP="00F900B8">
      <w:pPr>
        <w:pStyle w:val="FootnoteText"/>
        <w:spacing w:before="120" w:after="0"/>
      </w:pPr>
      <w:r w:rsidRPr="00A1103B">
        <w:rPr>
          <w:rStyle w:val="FootnoteReference"/>
        </w:rPr>
        <w:footnoteRef/>
      </w:r>
      <w:r w:rsidRPr="00A1103B">
        <w:t xml:space="preserve"> 47 U.S.C. § 159(b)(1)(A).</w:t>
      </w:r>
      <w:r w:rsidRPr="00905784">
        <w:rPr>
          <w:szCs w:val="22"/>
        </w:rPr>
        <w:t xml:space="preserve"> </w:t>
      </w:r>
      <w:r>
        <w:rPr>
          <w:szCs w:val="22"/>
        </w:rPr>
        <w:t xml:space="preserve"> </w:t>
      </w:r>
      <w:r w:rsidRPr="00754D4D">
        <w:rPr>
          <w:szCs w:val="22"/>
        </w:rPr>
        <w:t xml:space="preserve">When section 9 was adopted, the total FTEs were to be calculated based on the number of FTEs in the Private Radio Bureau, Mass Media Bureau, and Common Carrier Bureau.  </w:t>
      </w:r>
      <w:r>
        <w:rPr>
          <w:szCs w:val="22"/>
        </w:rPr>
        <w:t xml:space="preserve">(The names of these bureaus were subsequently changed.)  </w:t>
      </w:r>
      <w:r w:rsidRPr="00754D4D">
        <w:rPr>
          <w:szCs w:val="22"/>
        </w:rPr>
        <w:t xml:space="preserve">Satellites and submarine cable were regulated through the Common Carrier Bureau before the International Bureau was created.  </w:t>
      </w:r>
    </w:p>
  </w:footnote>
  <w:footnote w:id="7">
    <w:p w:rsidR="00DD2A3A" w:rsidRPr="00A1103B" w:rsidRDefault="00DD2A3A" w:rsidP="00113D8D">
      <w:pPr>
        <w:pStyle w:val="FootnoteText"/>
        <w:spacing w:before="120" w:after="0"/>
      </w:pPr>
      <w:r w:rsidRPr="00A1103B">
        <w:rPr>
          <w:rStyle w:val="FootnoteReference"/>
        </w:rPr>
        <w:footnoteRef/>
      </w:r>
      <w:r>
        <w:t xml:space="preserve"> </w:t>
      </w:r>
      <w:r w:rsidRPr="00453F64">
        <w:rPr>
          <w:i/>
        </w:rPr>
        <w:t>Assessment and Collection of Regulatory Fees for Fiscal Year 2004</w:t>
      </w:r>
      <w:r>
        <w:t xml:space="preserve">, Report and Order, </w:t>
      </w:r>
      <w:r w:rsidRPr="00A1103B">
        <w:t xml:space="preserve">19 FCC Rcd </w:t>
      </w:r>
      <w:r>
        <w:t xml:space="preserve">11662, </w:t>
      </w:r>
      <w:r w:rsidRPr="00A1103B">
        <w:t>11666, para. 11</w:t>
      </w:r>
      <w:r>
        <w:t xml:space="preserve"> (2004) (</w:t>
      </w:r>
      <w:r w:rsidRPr="00A1103B">
        <w:rPr>
          <w:i/>
        </w:rPr>
        <w:t>FY 2004 Report and Order</w:t>
      </w:r>
      <w:r>
        <w:t>)</w:t>
      </w:r>
      <w:r w:rsidRPr="00A1103B">
        <w:t xml:space="preserve">.  For example, governmental and nonprofit entities are exempt from regulatory fees under section 9(h) </w:t>
      </w:r>
      <w:r>
        <w:t>of the Act.  47 U.S.C. § 159(h);</w:t>
      </w:r>
      <w:r w:rsidRPr="00F7118E">
        <w:t xml:space="preserve"> </w:t>
      </w:r>
      <w:r>
        <w:t xml:space="preserve">47 C.F.R. </w:t>
      </w:r>
      <w:r w:rsidRPr="00A1103B">
        <w:t>§</w:t>
      </w:r>
      <w:r>
        <w:t xml:space="preserve"> 1.1162.</w:t>
      </w:r>
    </w:p>
  </w:footnote>
  <w:footnote w:id="8">
    <w:p w:rsidR="00DD2A3A" w:rsidRDefault="00DD2A3A" w:rsidP="00113D8D">
      <w:pPr>
        <w:pStyle w:val="FootnoteText"/>
        <w:spacing w:before="120" w:after="0"/>
      </w:pPr>
      <w:r>
        <w:rPr>
          <w:rStyle w:val="FootnoteReference"/>
        </w:rPr>
        <w:footnoteRef/>
      </w:r>
      <w:r>
        <w:t xml:space="preserve"> 47 C.F.R. </w:t>
      </w:r>
      <w:r w:rsidRPr="00A1103B">
        <w:t>§</w:t>
      </w:r>
      <w:r>
        <w:t xml:space="preserve"> 1.1166.</w:t>
      </w:r>
    </w:p>
  </w:footnote>
  <w:footnote w:id="9">
    <w:p w:rsidR="00DD2A3A" w:rsidRDefault="00DD2A3A" w:rsidP="00113D8D">
      <w:pPr>
        <w:pStyle w:val="FootnoteText"/>
        <w:spacing w:before="120" w:after="0"/>
      </w:pPr>
      <w:r>
        <w:rPr>
          <w:rStyle w:val="FootnoteReference"/>
        </w:rPr>
        <w:footnoteRef/>
      </w:r>
      <w:r>
        <w:t xml:space="preserve"> </w:t>
      </w:r>
      <w:r w:rsidRPr="00412CF0">
        <w:t>E.g.,</w:t>
      </w:r>
      <w:r>
        <w:t xml:space="preserve"> broadband services, non-U.S.-licensed space stations.</w:t>
      </w:r>
    </w:p>
  </w:footnote>
  <w:footnote w:id="10">
    <w:p w:rsidR="00DD2A3A" w:rsidRPr="00A1103B" w:rsidRDefault="00DD2A3A" w:rsidP="00157B67">
      <w:pPr>
        <w:pStyle w:val="FootnoteText"/>
        <w:spacing w:before="120" w:after="0"/>
      </w:pPr>
      <w:r w:rsidRPr="00A1103B">
        <w:rPr>
          <w:rStyle w:val="FootnoteReference"/>
        </w:rPr>
        <w:footnoteRef/>
      </w:r>
      <w:r w:rsidRPr="00A1103B">
        <w:t xml:space="preserve"> The indirect FTEs are the employees from the </w:t>
      </w:r>
      <w:r>
        <w:t xml:space="preserve">International Bureau (in part), </w:t>
      </w:r>
      <w:r w:rsidRPr="00A1103B">
        <w:t xml:space="preserve">Enforcement Bureau, Consumer </w:t>
      </w:r>
      <w:r>
        <w:t>&amp;</w:t>
      </w:r>
      <w:r w:rsidRPr="00A1103B">
        <w:t xml:space="preserve"> Governmental Affairs Bureau, Public Safety </w:t>
      </w:r>
      <w:r>
        <w:t>&amp;</w:t>
      </w:r>
      <w:r w:rsidRPr="00A1103B">
        <w:t xml:space="preserve"> Homeland Security Bureau, Chairman and Commissioners’ offices, Office of </w:t>
      </w:r>
      <w:r>
        <w:t xml:space="preserve">the </w:t>
      </w:r>
      <w:r w:rsidRPr="00A1103B">
        <w:t xml:space="preserve">Managing Director, Office of General Counsel, Office of the Inspector General, Office of Communications Business Opportunities, Office of Engineering and Technology, Office of Legislative Affairs, Office of Strategic Planning and Policy Analysis, </w:t>
      </w:r>
      <w:r>
        <w:t>O</w:t>
      </w:r>
      <w:r w:rsidRPr="00A1103B">
        <w:t xml:space="preserve">ffice of Workplace Diversity, </w:t>
      </w:r>
      <w:r>
        <w:t xml:space="preserve">Office of Media Relations, and Office of Administrative Law Judges, </w:t>
      </w:r>
      <w:r w:rsidRPr="00A1103B">
        <w:t>totaling</w:t>
      </w:r>
      <w:r>
        <w:t xml:space="preserve"> 1,044 </w:t>
      </w:r>
      <w:r w:rsidRPr="00A1103B">
        <w:t xml:space="preserve">FTEs.  </w:t>
      </w:r>
    </w:p>
  </w:footnote>
  <w:footnote w:id="11">
    <w:p w:rsidR="00DD2A3A" w:rsidRPr="00A1103B" w:rsidRDefault="00DD2A3A" w:rsidP="0088462E">
      <w:pPr>
        <w:pStyle w:val="FootnoteText"/>
        <w:spacing w:before="120" w:after="0"/>
      </w:pPr>
      <w:r w:rsidRPr="00A1103B">
        <w:rPr>
          <w:rStyle w:val="FootnoteReference"/>
        </w:rPr>
        <w:footnoteRef/>
      </w:r>
      <w:r w:rsidRPr="00A1103B">
        <w:t xml:space="preserve"> </w:t>
      </w:r>
      <w:r>
        <w:t xml:space="preserve">For a fuller description of this process, </w:t>
      </w:r>
      <w:r w:rsidRPr="0088462E">
        <w:rPr>
          <w:i/>
        </w:rPr>
        <w:t xml:space="preserve">see </w:t>
      </w:r>
      <w:r w:rsidRPr="00A1103B">
        <w:rPr>
          <w:i/>
        </w:rPr>
        <w:t>Assessment and Collection of Regulatory Fees</w:t>
      </w:r>
      <w:r w:rsidRPr="00A1103B">
        <w:t>, Notice of Proposed Rulemaking, 27 FCC Rcd 8458</w:t>
      </w:r>
      <w:r>
        <w:t>, 8461-62, paras. 8-11</w:t>
      </w:r>
      <w:r w:rsidRPr="00A1103B">
        <w:t xml:space="preserve"> (2012) (</w:t>
      </w:r>
      <w:r w:rsidRPr="00A1103B">
        <w:rPr>
          <w:i/>
        </w:rPr>
        <w:t>FY 2012 NPRM</w:t>
      </w:r>
      <w:r w:rsidRPr="00A1103B">
        <w:t>).</w:t>
      </w:r>
      <w:r w:rsidRPr="00B16900">
        <w:rPr>
          <w:i/>
        </w:rPr>
        <w:t xml:space="preserve"> </w:t>
      </w:r>
      <w:r>
        <w:t xml:space="preserve"> </w:t>
      </w:r>
    </w:p>
  </w:footnote>
  <w:footnote w:id="12">
    <w:p w:rsidR="00DD2A3A" w:rsidRDefault="00DD2A3A" w:rsidP="00E92E2F">
      <w:pPr>
        <w:pStyle w:val="FootnoteText"/>
        <w:spacing w:before="120" w:after="0"/>
      </w:pPr>
      <w:r>
        <w:rPr>
          <w:rStyle w:val="FootnoteReference"/>
        </w:rPr>
        <w:footnoteRef/>
      </w:r>
      <w:r>
        <w:t xml:space="preserve"> </w:t>
      </w:r>
      <w:r w:rsidRPr="00A1103B">
        <w:t>47 U.S.C. § 159(b)(1)(A).</w:t>
      </w:r>
      <w:r w:rsidRPr="00905784">
        <w:rPr>
          <w:szCs w:val="22"/>
        </w:rPr>
        <w:t xml:space="preserve"> </w:t>
      </w:r>
      <w:r>
        <w:rPr>
          <w:szCs w:val="22"/>
        </w:rPr>
        <w:t xml:space="preserve"> </w:t>
      </w:r>
    </w:p>
  </w:footnote>
  <w:footnote w:id="13">
    <w:p w:rsidR="00DD2A3A" w:rsidRDefault="00DD2A3A" w:rsidP="008F643A">
      <w:pPr>
        <w:pStyle w:val="FootnoteText"/>
        <w:spacing w:before="120" w:after="0"/>
      </w:pPr>
      <w:r>
        <w:rPr>
          <w:rStyle w:val="FootnoteReference"/>
        </w:rPr>
        <w:footnoteRef/>
      </w:r>
      <w:r>
        <w:t xml:space="preserve"> 47 U.S.C. § 159(b)(2</w:t>
      </w:r>
      <w:r w:rsidRPr="00FE2F75">
        <w:t>) (Mandatory Amendments).</w:t>
      </w:r>
    </w:p>
  </w:footnote>
  <w:footnote w:id="14">
    <w:p w:rsidR="00DD2A3A" w:rsidRDefault="00DD2A3A" w:rsidP="003B1697">
      <w:pPr>
        <w:pStyle w:val="FootnoteText"/>
        <w:spacing w:before="120" w:after="0"/>
      </w:pPr>
      <w:r>
        <w:rPr>
          <w:rStyle w:val="FootnoteReference"/>
        </w:rPr>
        <w:footnoteRef/>
      </w:r>
      <w:r>
        <w:t xml:space="preserve"> 47 U.S.C. § 159(b)(4)(B).</w:t>
      </w:r>
    </w:p>
  </w:footnote>
  <w:footnote w:id="15">
    <w:p w:rsidR="00DD2A3A" w:rsidRDefault="00DD2A3A" w:rsidP="003B1697">
      <w:pPr>
        <w:pStyle w:val="FootnoteText"/>
        <w:spacing w:before="120" w:after="0"/>
      </w:pPr>
      <w:r>
        <w:rPr>
          <w:rStyle w:val="FootnoteReference"/>
        </w:rPr>
        <w:footnoteRef/>
      </w:r>
      <w:r>
        <w:t xml:space="preserve"> 47 U.S.C. § 159(b)(3).</w:t>
      </w:r>
    </w:p>
  </w:footnote>
  <w:footnote w:id="16">
    <w:p w:rsidR="00DD2A3A" w:rsidRPr="00A1103B" w:rsidRDefault="00DD2A3A" w:rsidP="00214DA1">
      <w:pPr>
        <w:pStyle w:val="FootnoteText"/>
        <w:spacing w:before="120" w:after="0"/>
      </w:pPr>
      <w:r w:rsidRPr="00A1103B">
        <w:rPr>
          <w:rStyle w:val="FootnoteReference"/>
        </w:rPr>
        <w:footnoteRef/>
      </w:r>
      <w:r w:rsidRPr="00A1103B">
        <w:t xml:space="preserve"> </w:t>
      </w:r>
      <w:r w:rsidRPr="00A1103B">
        <w:rPr>
          <w:i/>
        </w:rPr>
        <w:t>See Assessment and Collection of Regulatory Fees for Fiscal Year 2008</w:t>
      </w:r>
      <w:r w:rsidRPr="00A1103B">
        <w:t xml:space="preserve">, </w:t>
      </w:r>
      <w:r>
        <w:t xml:space="preserve">MD Docket No. 08-65, </w:t>
      </w:r>
      <w:r w:rsidRPr="00A1103B">
        <w:t>Report and Order and Further Notice of Proposed Rulemaking, 24 FCC Rcd 6388 (2008) (</w:t>
      </w:r>
      <w:r w:rsidRPr="00A1103B">
        <w:rPr>
          <w:i/>
        </w:rPr>
        <w:t xml:space="preserve">FY 2008 </w:t>
      </w:r>
      <w:r>
        <w:rPr>
          <w:i/>
        </w:rPr>
        <w:t>Further Notice</w:t>
      </w:r>
      <w:r w:rsidRPr="00A1103B">
        <w:t>).</w:t>
      </w:r>
    </w:p>
  </w:footnote>
  <w:footnote w:id="17">
    <w:p w:rsidR="00DD2A3A" w:rsidRDefault="00DD2A3A" w:rsidP="00C87A6F">
      <w:pPr>
        <w:pStyle w:val="FootnoteText"/>
        <w:spacing w:before="120" w:after="0"/>
      </w:pPr>
      <w:r>
        <w:rPr>
          <w:rStyle w:val="FootnoteReference"/>
        </w:rPr>
        <w:footnoteRef/>
      </w:r>
      <w:r>
        <w:t xml:space="preserve"> </w:t>
      </w:r>
      <w:r w:rsidRPr="00CC3C36">
        <w:rPr>
          <w:i/>
        </w:rPr>
        <w:t>FY 2008 Further Notice</w:t>
      </w:r>
      <w:r>
        <w:t>, 24 FCC Rcd at 6402, para. 30.</w:t>
      </w:r>
    </w:p>
  </w:footnote>
  <w:footnote w:id="18">
    <w:p w:rsidR="00DD2A3A" w:rsidRDefault="00DD2A3A" w:rsidP="00C87A6F">
      <w:pPr>
        <w:pStyle w:val="FootnoteText"/>
        <w:spacing w:before="120" w:after="0"/>
      </w:pPr>
      <w:r>
        <w:rPr>
          <w:rStyle w:val="FootnoteReference"/>
        </w:rPr>
        <w:footnoteRef/>
      </w:r>
      <w:r>
        <w:t xml:space="preserve"> </w:t>
      </w:r>
      <w:r>
        <w:rPr>
          <w:i/>
        </w:rPr>
        <w:t>Id.</w:t>
      </w:r>
      <w:r>
        <w:t xml:space="preserve">, 24 FCC Rcd at 6405, para. 41.    </w:t>
      </w:r>
    </w:p>
  </w:footnote>
  <w:footnote w:id="19">
    <w:p w:rsidR="00DD2A3A" w:rsidRDefault="00DD2A3A" w:rsidP="00C87A6F">
      <w:pPr>
        <w:pStyle w:val="FootnoteText"/>
        <w:spacing w:before="120" w:after="0"/>
      </w:pPr>
      <w:r>
        <w:rPr>
          <w:rStyle w:val="FootnoteReference"/>
        </w:rPr>
        <w:footnoteRef/>
      </w:r>
      <w:r>
        <w:t xml:space="preserve"> </w:t>
      </w:r>
      <w:r>
        <w:rPr>
          <w:i/>
        </w:rPr>
        <w:t>Id.</w:t>
      </w:r>
      <w:r>
        <w:t xml:space="preserve">, 24 FCC Rcd at 6404, para. 40.    </w:t>
      </w:r>
    </w:p>
  </w:footnote>
  <w:footnote w:id="20">
    <w:p w:rsidR="00DD2A3A" w:rsidRDefault="00DD2A3A" w:rsidP="00C87A6F">
      <w:pPr>
        <w:pStyle w:val="FootnoteText"/>
        <w:spacing w:before="120" w:after="0"/>
      </w:pPr>
      <w:r>
        <w:rPr>
          <w:rStyle w:val="FootnoteReference"/>
        </w:rPr>
        <w:footnoteRef/>
      </w:r>
      <w:r>
        <w:t xml:space="preserve"> </w:t>
      </w:r>
      <w:r>
        <w:rPr>
          <w:i/>
        </w:rPr>
        <w:t>Id.</w:t>
      </w:r>
      <w:r>
        <w:t>, 24 FCC Rcd at 6406-07, paras. 48-49.</w:t>
      </w:r>
    </w:p>
  </w:footnote>
  <w:footnote w:id="21">
    <w:p w:rsidR="00DD2A3A" w:rsidRDefault="00DD2A3A" w:rsidP="00C87A6F">
      <w:pPr>
        <w:pStyle w:val="FootnoteText"/>
        <w:spacing w:before="120" w:after="0"/>
      </w:pPr>
      <w:r>
        <w:rPr>
          <w:rStyle w:val="FootnoteReference"/>
        </w:rPr>
        <w:footnoteRef/>
      </w:r>
      <w:r>
        <w:t xml:space="preserve"> </w:t>
      </w:r>
      <w:r>
        <w:rPr>
          <w:i/>
        </w:rPr>
        <w:t>Id.</w:t>
      </w:r>
      <w:r>
        <w:t xml:space="preserve">, 24 FCC Rcd at 6407, para. 50.  Although these proposals were not adopted at that time; we later adopted a new methodology for assessing regulatory fees for the submarine cable industry.  </w:t>
      </w:r>
      <w:r w:rsidRPr="00AC121A">
        <w:rPr>
          <w:i/>
        </w:rPr>
        <w:t xml:space="preserve">See </w:t>
      </w:r>
      <w:r w:rsidRPr="00A1103B">
        <w:rPr>
          <w:i/>
        </w:rPr>
        <w:t>Assessment and Collection of Regulatory Fees for Fiscal Year 2008</w:t>
      </w:r>
      <w:r w:rsidRPr="00A1103B">
        <w:t>, Second Report and Order, 24 FCC Rcd 4208</w:t>
      </w:r>
      <w:r>
        <w:t>, 4213, para. 11</w:t>
      </w:r>
      <w:r w:rsidRPr="00A1103B">
        <w:t xml:space="preserve"> (2009) (</w:t>
      </w:r>
      <w:r w:rsidRPr="00A1103B">
        <w:rPr>
          <w:i/>
        </w:rPr>
        <w:t>Submarine Cable Order</w:t>
      </w:r>
      <w:r w:rsidRPr="00A1103B">
        <w:t>).</w:t>
      </w:r>
    </w:p>
  </w:footnote>
  <w:footnote w:id="22">
    <w:p w:rsidR="00DD2A3A" w:rsidRPr="00A1103B" w:rsidRDefault="00DD2A3A" w:rsidP="00C87A6F">
      <w:pPr>
        <w:pStyle w:val="FootnoteText"/>
        <w:spacing w:before="120" w:after="0"/>
      </w:pPr>
      <w:r w:rsidRPr="00A1103B">
        <w:rPr>
          <w:rStyle w:val="FootnoteReference"/>
        </w:rPr>
        <w:footnoteRef/>
      </w:r>
      <w:r w:rsidRPr="00A1103B">
        <w:t xml:space="preserve"> </w:t>
      </w:r>
      <w:r w:rsidRPr="00A1103B">
        <w:rPr>
          <w:i/>
        </w:rPr>
        <w:t>See</w:t>
      </w:r>
      <w:r w:rsidRPr="00A1103B">
        <w:t xml:space="preserve"> GAO, Federal Communications Commission, “Regulatory Fee Process Needs to be Updated,” Aug. 2012, GAO-12-686</w:t>
      </w:r>
      <w:r>
        <w:t xml:space="preserve"> (GAO Report).</w:t>
      </w:r>
    </w:p>
  </w:footnote>
  <w:footnote w:id="23">
    <w:p w:rsidR="00DD2A3A" w:rsidRDefault="00DD2A3A" w:rsidP="00C87A6F">
      <w:pPr>
        <w:pStyle w:val="FootnoteText"/>
        <w:spacing w:before="120" w:after="0"/>
      </w:pPr>
      <w:r>
        <w:rPr>
          <w:rStyle w:val="FootnoteReference"/>
        </w:rPr>
        <w:footnoteRef/>
      </w:r>
      <w:r>
        <w:t xml:space="preserve"> </w:t>
      </w:r>
      <w:r w:rsidRPr="00523B79">
        <w:rPr>
          <w:i/>
        </w:rPr>
        <w:t>FY 2012 NPRM</w:t>
      </w:r>
      <w:r>
        <w:t>, 27</w:t>
      </w:r>
      <w:r w:rsidRPr="00A1103B">
        <w:t xml:space="preserve"> FCC Rcd </w:t>
      </w:r>
      <w:r>
        <w:t>at 8465-8469, paras. 18-34</w:t>
      </w:r>
      <w:r w:rsidRPr="00023049">
        <w:rPr>
          <w:i/>
        </w:rPr>
        <w:t>.</w:t>
      </w:r>
    </w:p>
  </w:footnote>
  <w:footnote w:id="24">
    <w:p w:rsidR="00DD2A3A" w:rsidRDefault="00DD2A3A" w:rsidP="00C87A6F">
      <w:pPr>
        <w:pStyle w:val="FootnoteText"/>
        <w:spacing w:before="120" w:after="0"/>
      </w:pPr>
      <w:r>
        <w:rPr>
          <w:rStyle w:val="FootnoteReference"/>
        </w:rPr>
        <w:footnoteRef/>
      </w:r>
      <w:r>
        <w:t xml:space="preserve"> </w:t>
      </w:r>
      <w:r w:rsidRPr="001163F6">
        <w:rPr>
          <w:i/>
        </w:rPr>
        <w:t>Assessment and Collection of Regulatory Fees for Fiscal Year 201</w:t>
      </w:r>
      <w:r>
        <w:rPr>
          <w:i/>
        </w:rPr>
        <w:t>3</w:t>
      </w:r>
      <w:r>
        <w:t>, Notice of Proposed Rulemaking and Further Notice of Proposed Rulemaking, MD Docket Nos. 13-140, 12-201, and 08-65, 28 FCC Rcd 7790, 7796-7803, paras. 15-29 (2013) (</w:t>
      </w:r>
      <w:r w:rsidRPr="00F906EF">
        <w:rPr>
          <w:i/>
        </w:rPr>
        <w:t>FY 201</w:t>
      </w:r>
      <w:r>
        <w:rPr>
          <w:i/>
        </w:rPr>
        <w:t>3</w:t>
      </w:r>
      <w:r w:rsidRPr="00F906EF">
        <w:rPr>
          <w:i/>
        </w:rPr>
        <w:t xml:space="preserve"> </w:t>
      </w:r>
      <w:r w:rsidRPr="007C7421">
        <w:rPr>
          <w:i/>
        </w:rPr>
        <w:t>NPRM</w:t>
      </w:r>
      <w:r w:rsidRPr="008E0C89">
        <w:t>)</w:t>
      </w:r>
      <w:r>
        <w:rPr>
          <w:i/>
        </w:rPr>
        <w:t>.</w:t>
      </w:r>
    </w:p>
  </w:footnote>
  <w:footnote w:id="25">
    <w:p w:rsidR="00DD2A3A" w:rsidRDefault="00DD2A3A" w:rsidP="00C87A6F">
      <w:pPr>
        <w:pStyle w:val="FootnoteText"/>
        <w:spacing w:before="120" w:after="0"/>
      </w:pPr>
      <w:r>
        <w:rPr>
          <w:rStyle w:val="FootnoteReference"/>
        </w:rPr>
        <w:footnoteRef/>
      </w:r>
      <w:r>
        <w:t xml:space="preserve"> </w:t>
      </w:r>
      <w:r w:rsidRPr="00A1103B">
        <w:rPr>
          <w:i/>
        </w:rPr>
        <w:t>Assessment and Collection of Regulatory Fees for Fiscal Year 20</w:t>
      </w:r>
      <w:r>
        <w:rPr>
          <w:i/>
        </w:rPr>
        <w:t>13</w:t>
      </w:r>
      <w:r w:rsidRPr="00A1103B">
        <w:t xml:space="preserve">, </w:t>
      </w:r>
      <w:r>
        <w:t xml:space="preserve">MD Docket No. 08-65, </w:t>
      </w:r>
      <w:r w:rsidRPr="00A1103B">
        <w:t>Report and Order</w:t>
      </w:r>
      <w:r>
        <w:t>, 28</w:t>
      </w:r>
      <w:r w:rsidRPr="00A1103B">
        <w:t xml:space="preserve"> FCC Rcd</w:t>
      </w:r>
      <w:r>
        <w:t xml:space="preserve"> 12351, 12354-58, paras 10-20 (2013</w:t>
      </w:r>
      <w:r w:rsidRPr="00A1103B">
        <w:t>) (</w:t>
      </w:r>
      <w:r>
        <w:rPr>
          <w:i/>
        </w:rPr>
        <w:t>FY 2013 Report and Order</w:t>
      </w:r>
      <w:r w:rsidRPr="00A1103B">
        <w:t>).</w:t>
      </w:r>
    </w:p>
  </w:footnote>
  <w:footnote w:id="26">
    <w:p w:rsidR="00DD2A3A" w:rsidRPr="00E813B3" w:rsidRDefault="00DD2A3A" w:rsidP="00C87A6F">
      <w:pPr>
        <w:pStyle w:val="FootnoteText"/>
        <w:spacing w:before="120" w:after="0"/>
      </w:pPr>
      <w:r w:rsidRPr="00AE4531">
        <w:rPr>
          <w:vertAlign w:val="superscript"/>
        </w:rPr>
        <w:footnoteRef/>
      </w:r>
      <w:r>
        <w:t xml:space="preserve"> </w:t>
      </w:r>
      <w:r w:rsidRPr="00053458">
        <w:rPr>
          <w:i/>
        </w:rPr>
        <w:t>FY 2013 Report and Order</w:t>
      </w:r>
      <w:r>
        <w:t>, 28 FCC Rcd at 12361-62, paras. 29-31.</w:t>
      </w:r>
    </w:p>
  </w:footnote>
  <w:footnote w:id="27">
    <w:p w:rsidR="00DD2A3A" w:rsidRPr="00E813B3" w:rsidRDefault="00DD2A3A" w:rsidP="00C87A6F">
      <w:pPr>
        <w:pStyle w:val="FootnoteText"/>
        <w:spacing w:before="120" w:after="0"/>
      </w:pPr>
      <w:r>
        <w:rPr>
          <w:rStyle w:val="FootnoteReference"/>
        </w:rPr>
        <w:footnoteRef/>
      </w:r>
      <w:r>
        <w:t xml:space="preserve"> </w:t>
      </w:r>
      <w:r>
        <w:rPr>
          <w:i/>
        </w:rPr>
        <w:t>Id.</w:t>
      </w:r>
      <w:r>
        <w:t>, 28 FCC Rcd at 12362-63, paras. 32-33.</w:t>
      </w:r>
    </w:p>
  </w:footnote>
  <w:footnote w:id="28">
    <w:p w:rsidR="00DD2A3A" w:rsidRDefault="00DD2A3A" w:rsidP="00177232">
      <w:pPr>
        <w:pStyle w:val="FootnoteText"/>
        <w:spacing w:before="120" w:after="0"/>
      </w:pPr>
      <w:r>
        <w:rPr>
          <w:rStyle w:val="FootnoteReference"/>
        </w:rPr>
        <w:footnoteRef/>
      </w:r>
      <w:r>
        <w:t xml:space="preserve"> </w:t>
      </w:r>
      <w:r w:rsidRPr="00B60211">
        <w:rPr>
          <w:i/>
          <w:iCs/>
        </w:rPr>
        <w:t xml:space="preserve">See Assessment and Collection of Regulatory Fees for Fiscal Year 2005 and Assessment and Collection of Regulatory Fees for Fiscal Year 2004, </w:t>
      </w:r>
      <w:r w:rsidRPr="00B60211">
        <w:rPr>
          <w:iCs/>
        </w:rPr>
        <w:t xml:space="preserve">MD Docket Nos. 05-59 and 04-73, Report and Order and Order on Reconsideration, </w:t>
      </w:r>
      <w:r>
        <w:t>20 FCC Rcd 12259, 12267</w:t>
      </w:r>
      <w:r w:rsidRPr="00B60211">
        <w:t xml:space="preserve">, </w:t>
      </w:r>
      <w:r>
        <w:t>paras.</w:t>
      </w:r>
      <w:r w:rsidRPr="00B60211">
        <w:t xml:space="preserve"> </w:t>
      </w:r>
      <w:r>
        <w:t>24-25</w:t>
      </w:r>
      <w:r w:rsidRPr="00B60211">
        <w:t xml:space="preserve"> (2005)</w:t>
      </w:r>
      <w:r>
        <w:t xml:space="preserve"> (</w:t>
      </w:r>
      <w:r w:rsidRPr="006D786D">
        <w:rPr>
          <w:i/>
        </w:rPr>
        <w:t>FY 2005 Report and Order</w:t>
      </w:r>
      <w:r>
        <w:t>)</w:t>
      </w:r>
      <w:r w:rsidRPr="00B60211">
        <w:rPr>
          <w:iCs/>
        </w:rPr>
        <w:t>.</w:t>
      </w:r>
    </w:p>
  </w:footnote>
  <w:footnote w:id="29">
    <w:p w:rsidR="00DD2A3A" w:rsidRPr="00D2454F" w:rsidRDefault="00DD2A3A" w:rsidP="00177232">
      <w:pPr>
        <w:pStyle w:val="FootnoteText"/>
        <w:spacing w:before="120" w:after="0"/>
      </w:pPr>
      <w:r>
        <w:rPr>
          <w:rStyle w:val="FootnoteReference"/>
        </w:rPr>
        <w:footnoteRef/>
      </w:r>
      <w:r>
        <w:t xml:space="preserve"> </w:t>
      </w:r>
      <w:r w:rsidRPr="006D786D">
        <w:rPr>
          <w:i/>
        </w:rPr>
        <w:t>FY 2005 Report and Order</w:t>
      </w:r>
      <w:r>
        <w:t>, 20 FCC Rcd at 12267, para. 25.</w:t>
      </w:r>
    </w:p>
  </w:footnote>
  <w:footnote w:id="30">
    <w:p w:rsidR="00DD2A3A" w:rsidRPr="00D2454F" w:rsidRDefault="00DD2A3A" w:rsidP="00177232">
      <w:pPr>
        <w:pStyle w:val="FootnoteText"/>
        <w:spacing w:before="120" w:after="0"/>
      </w:pPr>
      <w:r>
        <w:rPr>
          <w:rStyle w:val="FootnoteReference"/>
        </w:rPr>
        <w:footnoteRef/>
      </w:r>
      <w:r>
        <w:t xml:space="preserve"> </w:t>
      </w:r>
      <w:r w:rsidRPr="00177232">
        <w:rPr>
          <w:i/>
        </w:rPr>
        <w:t>Id</w:t>
      </w:r>
      <w:r>
        <w:t>.</w:t>
      </w:r>
    </w:p>
  </w:footnote>
  <w:footnote w:id="31">
    <w:p w:rsidR="00DD2A3A" w:rsidRDefault="00DD2A3A" w:rsidP="00177232">
      <w:pPr>
        <w:pStyle w:val="FootnoteText"/>
        <w:spacing w:before="120" w:after="0"/>
      </w:pPr>
      <w:r>
        <w:rPr>
          <w:rStyle w:val="FootnoteReference"/>
        </w:rPr>
        <w:footnoteRef/>
      </w:r>
      <w:r>
        <w:t xml:space="preserve"> </w:t>
      </w:r>
      <w:r w:rsidRPr="00CE2BC5">
        <w:rPr>
          <w:i/>
        </w:rPr>
        <w:t>See</w:t>
      </w:r>
      <w:r>
        <w:rPr>
          <w:i/>
        </w:rPr>
        <w:t xml:space="preserve"> </w:t>
      </w:r>
      <w:r w:rsidRPr="00EF23A7">
        <w:rPr>
          <w:i/>
        </w:rPr>
        <w:t>FY 2008 FNPRM</w:t>
      </w:r>
      <w:r>
        <w:rPr>
          <w:i/>
        </w:rPr>
        <w:t>,</w:t>
      </w:r>
      <w:r>
        <w:t xml:space="preserve"> </w:t>
      </w:r>
      <w:r w:rsidRPr="00EF23A7">
        <w:t>24</w:t>
      </w:r>
      <w:r>
        <w:t xml:space="preserve"> FCC Rcd at 6393, para. 13.</w:t>
      </w:r>
    </w:p>
  </w:footnote>
  <w:footnote w:id="32">
    <w:p w:rsidR="00DD2A3A" w:rsidRDefault="00DD2A3A" w:rsidP="00177232">
      <w:pPr>
        <w:pStyle w:val="FootnoteText"/>
        <w:spacing w:before="120" w:after="0"/>
      </w:pPr>
      <w:r>
        <w:rPr>
          <w:rStyle w:val="FootnoteReference"/>
        </w:rPr>
        <w:footnoteRef/>
      </w:r>
      <w:r>
        <w:t xml:space="preserve"> </w:t>
      </w:r>
      <w:r w:rsidRPr="00AC5A11">
        <w:rPr>
          <w:i/>
        </w:rPr>
        <w:t>FY 201</w:t>
      </w:r>
      <w:r>
        <w:rPr>
          <w:i/>
        </w:rPr>
        <w:t>4 NPRM</w:t>
      </w:r>
      <w:r>
        <w:t>, 29 FCC Rcd at 6424, para. 19.</w:t>
      </w:r>
    </w:p>
  </w:footnote>
  <w:footnote w:id="33">
    <w:p w:rsidR="00DD2A3A" w:rsidRDefault="00DD2A3A" w:rsidP="00177232">
      <w:pPr>
        <w:pStyle w:val="FootnoteText"/>
        <w:spacing w:before="120" w:after="0"/>
      </w:pPr>
      <w:r>
        <w:rPr>
          <w:rStyle w:val="FootnoteReference"/>
        </w:rPr>
        <w:footnoteRef/>
      </w:r>
      <w:r>
        <w:t xml:space="preserve"> Commenters addressing this issue support assessing regulatory fees on the AM expanded band licensees. </w:t>
      </w:r>
      <w:r w:rsidRPr="008571B3">
        <w:rPr>
          <w:i/>
        </w:rPr>
        <w:t>See</w:t>
      </w:r>
      <w:r>
        <w:t xml:space="preserve"> T. Cowan Comments at 1.  We did not receive any comments objecting to discontinuation of the exemption.</w:t>
      </w:r>
    </w:p>
  </w:footnote>
  <w:footnote w:id="34">
    <w:p w:rsidR="00DD2A3A" w:rsidRDefault="00DD2A3A" w:rsidP="00B7063E">
      <w:pPr>
        <w:pStyle w:val="FootnoteText"/>
      </w:pPr>
      <w:r>
        <w:rPr>
          <w:rStyle w:val="FootnoteReference"/>
        </w:rPr>
        <w:footnoteRef/>
      </w:r>
      <w:r>
        <w:t xml:space="preserve"> Submarine cable systems are undersea cables</w:t>
      </w:r>
      <w:r w:rsidRPr="00E07E00">
        <w:t xml:space="preserve"> between land-based stations </w:t>
      </w:r>
      <w:r>
        <w:t>carrying data and voice services.</w:t>
      </w:r>
    </w:p>
  </w:footnote>
  <w:footnote w:id="35">
    <w:p w:rsidR="00DD2A3A" w:rsidRDefault="00DD2A3A" w:rsidP="00B7063E">
      <w:pPr>
        <w:pStyle w:val="FootnoteText"/>
      </w:pPr>
      <w:r>
        <w:rPr>
          <w:rStyle w:val="FootnoteReference"/>
        </w:rPr>
        <w:footnoteRef/>
      </w:r>
      <w:r>
        <w:t xml:space="preserve"> </w:t>
      </w:r>
      <w:r w:rsidRPr="00AC5A11">
        <w:rPr>
          <w:i/>
        </w:rPr>
        <w:t>FY 201</w:t>
      </w:r>
      <w:r>
        <w:rPr>
          <w:i/>
        </w:rPr>
        <w:t>4 NPRM</w:t>
      </w:r>
      <w:r>
        <w:t>, 29 FCC Rcd at 6427, para. 28.</w:t>
      </w:r>
      <w:r w:rsidRPr="001A6CA4">
        <w:t xml:space="preserve"> </w:t>
      </w:r>
      <w:r>
        <w:t xml:space="preserve"> </w:t>
      </w:r>
    </w:p>
  </w:footnote>
  <w:footnote w:id="36">
    <w:p w:rsidR="00DD2A3A" w:rsidRDefault="00DD2A3A" w:rsidP="00B7063E">
      <w:pPr>
        <w:spacing w:after="120"/>
      </w:pPr>
      <w:r w:rsidRPr="007678EE">
        <w:rPr>
          <w:rStyle w:val="FootnoteReference"/>
        </w:rPr>
        <w:footnoteRef/>
      </w:r>
      <w:r w:rsidRPr="007678EE">
        <w:rPr>
          <w:sz w:val="20"/>
        </w:rPr>
        <w:t xml:space="preserve"> </w:t>
      </w:r>
      <w:r w:rsidRPr="007678EE">
        <w:rPr>
          <w:i/>
          <w:sz w:val="20"/>
        </w:rPr>
        <w:t xml:space="preserve">See </w:t>
      </w:r>
      <w:r w:rsidRPr="007678EE">
        <w:rPr>
          <w:i/>
          <w:iCs/>
          <w:sz w:val="20"/>
        </w:rPr>
        <w:t xml:space="preserve">Reporting Requirements for U.S. Providers of International Telecommunications Services; Amendment of Part 43 of the Commission’s Rules, </w:t>
      </w:r>
      <w:r w:rsidRPr="007678EE">
        <w:rPr>
          <w:sz w:val="20"/>
        </w:rPr>
        <w:t>IB Docket No. 04-112, Second Report and Order, 28 FCC Rcd 575, 601-</w:t>
      </w:r>
      <w:r>
        <w:rPr>
          <w:sz w:val="20"/>
        </w:rPr>
        <w:t>0</w:t>
      </w:r>
      <w:r w:rsidRPr="007678EE">
        <w:rPr>
          <w:sz w:val="20"/>
        </w:rPr>
        <w:t>8, paras. 89-108 (2013)</w:t>
      </w:r>
      <w:r>
        <w:rPr>
          <w:sz w:val="20"/>
        </w:rPr>
        <w:t>,</w:t>
      </w:r>
      <w:r w:rsidRPr="007678EE">
        <w:rPr>
          <w:sz w:val="20"/>
        </w:rPr>
        <w:t xml:space="preserve"> </w:t>
      </w:r>
      <w:r w:rsidRPr="007678EE">
        <w:rPr>
          <w:i/>
          <w:iCs/>
          <w:sz w:val="20"/>
        </w:rPr>
        <w:t>recon. pending.</w:t>
      </w:r>
    </w:p>
  </w:footnote>
  <w:footnote w:id="37">
    <w:p w:rsidR="00DD2A3A" w:rsidRDefault="00DD2A3A" w:rsidP="00B7063E">
      <w:pPr>
        <w:pStyle w:val="FootnoteText"/>
      </w:pPr>
      <w:r>
        <w:rPr>
          <w:rStyle w:val="FootnoteReference"/>
        </w:rPr>
        <w:footnoteRef/>
      </w:r>
      <w:r>
        <w:t xml:space="preserve"> </w:t>
      </w:r>
      <w:r>
        <w:rPr>
          <w:i/>
        </w:rPr>
        <w:t xml:space="preserve">See </w:t>
      </w:r>
      <w:r>
        <w:t>47 C.F.R. § 1.767(l).</w:t>
      </w:r>
    </w:p>
  </w:footnote>
  <w:footnote w:id="38">
    <w:p w:rsidR="00DD2A3A" w:rsidRDefault="00DD2A3A" w:rsidP="00B7063E">
      <w:pPr>
        <w:pStyle w:val="FootnoteText"/>
      </w:pPr>
      <w:r>
        <w:rPr>
          <w:rStyle w:val="FootnoteReference"/>
        </w:rPr>
        <w:footnoteRef/>
      </w:r>
      <w:r>
        <w:t xml:space="preserve"> </w:t>
      </w:r>
      <w:r w:rsidRPr="008829AE">
        <w:rPr>
          <w:i/>
        </w:rPr>
        <w:t>See, e.g</w:t>
      </w:r>
      <w:r>
        <w:t>., NASCA Comments at 8-9 (filed June 19, 2013); Telstra Comments at 2 (filed June 19, 2013);</w:t>
      </w:r>
      <w:r w:rsidRPr="007607B5">
        <w:t xml:space="preserve"> </w:t>
      </w:r>
      <w:r>
        <w:t>ICC Reply Comments at 2 (filed June 19, 2013).</w:t>
      </w:r>
    </w:p>
  </w:footnote>
  <w:footnote w:id="39">
    <w:p w:rsidR="00DD2A3A" w:rsidRDefault="00DD2A3A" w:rsidP="00B7063E">
      <w:pPr>
        <w:pStyle w:val="FootnoteText"/>
      </w:pPr>
      <w:r>
        <w:rPr>
          <w:rStyle w:val="FootnoteReference"/>
        </w:rPr>
        <w:footnoteRef/>
      </w:r>
      <w:r>
        <w:t xml:space="preserve"> </w:t>
      </w:r>
      <w:r w:rsidRPr="00AC5A11">
        <w:rPr>
          <w:i/>
        </w:rPr>
        <w:t>FY 201</w:t>
      </w:r>
      <w:r>
        <w:rPr>
          <w:i/>
        </w:rPr>
        <w:t>4 NPRM</w:t>
      </w:r>
      <w:r>
        <w:t>, 29 FCC Rcd at 6427, para. 28.</w:t>
      </w:r>
    </w:p>
  </w:footnote>
  <w:footnote w:id="40">
    <w:p w:rsidR="00DD2A3A" w:rsidRDefault="00DD2A3A" w:rsidP="00B7063E">
      <w:pPr>
        <w:pStyle w:val="FootnoteText"/>
      </w:pPr>
      <w:r>
        <w:rPr>
          <w:rStyle w:val="FootnoteReference"/>
        </w:rPr>
        <w:footnoteRef/>
      </w:r>
      <w:r>
        <w:t xml:space="preserve"> The revenue allocation between submarine cable operators and common carrier terrestrial and satellite circuits is 87.6 percent/12.4 percent and was adopted in the </w:t>
      </w:r>
      <w:r w:rsidRPr="002937E0">
        <w:rPr>
          <w:i/>
        </w:rPr>
        <w:t>Submarine Cable Order</w:t>
      </w:r>
      <w:r>
        <w:t xml:space="preserve">.  </w:t>
      </w:r>
      <w:r w:rsidRPr="002937E0">
        <w:rPr>
          <w:i/>
        </w:rPr>
        <w:t>See Assessment and Collection of Regulatory Fees for Fiscal Year 2008</w:t>
      </w:r>
      <w:r>
        <w:t>, Second Report and Order, 24 FCC Rcd 4208 (2009) (</w:t>
      </w:r>
      <w:r w:rsidRPr="002937E0">
        <w:rPr>
          <w:i/>
        </w:rPr>
        <w:t>Submarine Cable</w:t>
      </w:r>
      <w:r>
        <w:t xml:space="preserve"> </w:t>
      </w:r>
      <w:r w:rsidRPr="002937E0">
        <w:rPr>
          <w:i/>
        </w:rPr>
        <w:t>Order</w:t>
      </w:r>
      <w:r>
        <w:t xml:space="preserve">).  We did not propose any change to this allocation in the </w:t>
      </w:r>
      <w:r w:rsidRPr="005B1448">
        <w:rPr>
          <w:i/>
        </w:rPr>
        <w:t>FY 2014 NPRM</w:t>
      </w:r>
      <w:r>
        <w:t>.</w:t>
      </w:r>
    </w:p>
  </w:footnote>
  <w:footnote w:id="41">
    <w:p w:rsidR="00DD2A3A" w:rsidRDefault="00DD2A3A" w:rsidP="00B7063E">
      <w:pPr>
        <w:pStyle w:val="FootnoteText"/>
      </w:pPr>
      <w:r>
        <w:rPr>
          <w:rStyle w:val="FootnoteReference"/>
        </w:rPr>
        <w:footnoteRef/>
      </w:r>
      <w:r>
        <w:t xml:space="preserve"> NASCA Comments at 5-7.</w:t>
      </w:r>
    </w:p>
  </w:footnote>
  <w:footnote w:id="42">
    <w:p w:rsidR="00DD2A3A" w:rsidRDefault="00DD2A3A" w:rsidP="00B7063E">
      <w:pPr>
        <w:pStyle w:val="FootnoteText"/>
      </w:pPr>
      <w:r>
        <w:rPr>
          <w:rStyle w:val="FootnoteReference"/>
        </w:rPr>
        <w:footnoteRef/>
      </w:r>
      <w:r>
        <w:t xml:space="preserve"> NASCA Comments at 7.</w:t>
      </w:r>
    </w:p>
  </w:footnote>
  <w:footnote w:id="43">
    <w:p w:rsidR="00DD2A3A" w:rsidRDefault="00DD2A3A" w:rsidP="00B7063E">
      <w:pPr>
        <w:pStyle w:val="FootnoteText"/>
      </w:pPr>
      <w:r>
        <w:rPr>
          <w:rStyle w:val="FootnoteReference"/>
        </w:rPr>
        <w:footnoteRef/>
      </w:r>
      <w:r>
        <w:t xml:space="preserve"> NASCA Comments at 10-12.</w:t>
      </w:r>
    </w:p>
  </w:footnote>
  <w:footnote w:id="44">
    <w:p w:rsidR="00DD2A3A" w:rsidRDefault="00DD2A3A" w:rsidP="00717076">
      <w:pPr>
        <w:pStyle w:val="FootnoteText"/>
      </w:pPr>
      <w:r>
        <w:rPr>
          <w:rStyle w:val="FootnoteReference"/>
        </w:rPr>
        <w:footnoteRef/>
      </w:r>
      <w:r>
        <w:t xml:space="preserve"> </w:t>
      </w:r>
      <w:r w:rsidRPr="00B96E92">
        <w:rPr>
          <w:i/>
        </w:rPr>
        <w:t>FY 2013 Report and Order</w:t>
      </w:r>
      <w:r>
        <w:t>, 28 FCC Rcd at 12355, para. 13.</w:t>
      </w:r>
    </w:p>
  </w:footnote>
  <w:footnote w:id="45">
    <w:p w:rsidR="00DD2A3A" w:rsidRDefault="00DD2A3A">
      <w:pPr>
        <w:pStyle w:val="FootnoteText"/>
      </w:pPr>
      <w:r>
        <w:rPr>
          <w:rStyle w:val="FootnoteReference"/>
        </w:rPr>
        <w:footnoteRef/>
      </w:r>
      <w:r>
        <w:t xml:space="preserve"> </w:t>
      </w:r>
      <w:r w:rsidRPr="00AC5A11">
        <w:rPr>
          <w:i/>
        </w:rPr>
        <w:t>FY 201</w:t>
      </w:r>
      <w:r>
        <w:rPr>
          <w:i/>
        </w:rPr>
        <w:t>4 NPRM</w:t>
      </w:r>
      <w:r>
        <w:t>, 29 FCC Rcd at 6428, para. 29.</w:t>
      </w:r>
      <w:r w:rsidRPr="007A11F8">
        <w:t xml:space="preserve"> </w:t>
      </w:r>
      <w:r>
        <w:t xml:space="preserve"> Some of these FTEs work on earth station issues that pertain to non-U.S.-licensed space stations.</w:t>
      </w:r>
    </w:p>
  </w:footnote>
  <w:footnote w:id="46">
    <w:p w:rsidR="00DD2A3A" w:rsidRDefault="00DD2A3A">
      <w:pPr>
        <w:pStyle w:val="FootnoteText"/>
      </w:pPr>
      <w:r>
        <w:rPr>
          <w:rStyle w:val="FootnoteReference"/>
        </w:rPr>
        <w:footnoteRef/>
      </w:r>
      <w:r>
        <w:t xml:space="preserve"> </w:t>
      </w:r>
      <w:r>
        <w:rPr>
          <w:i/>
        </w:rPr>
        <w:t>Id.</w:t>
      </w:r>
      <w:r>
        <w:t>, 29 FCC Rcd at 6433, paras. 47-50.</w:t>
      </w:r>
    </w:p>
  </w:footnote>
  <w:footnote w:id="47">
    <w:p w:rsidR="00DD2A3A" w:rsidRDefault="00DD2A3A">
      <w:pPr>
        <w:pStyle w:val="FootnoteText"/>
      </w:pPr>
      <w:r>
        <w:rPr>
          <w:rStyle w:val="FootnoteReference"/>
        </w:rPr>
        <w:footnoteRef/>
      </w:r>
      <w:r>
        <w:t xml:space="preserve"> </w:t>
      </w:r>
      <w:r>
        <w:rPr>
          <w:i/>
        </w:rPr>
        <w:t>Id.</w:t>
      </w:r>
      <w:r>
        <w:t>, 29 FCC Rcd at 6428, para. 29.</w:t>
      </w:r>
    </w:p>
  </w:footnote>
  <w:footnote w:id="48">
    <w:p w:rsidR="00DD2A3A" w:rsidRDefault="00DD2A3A">
      <w:pPr>
        <w:pStyle w:val="FootnoteText"/>
      </w:pPr>
      <w:r>
        <w:rPr>
          <w:rStyle w:val="FootnoteReference"/>
        </w:rPr>
        <w:footnoteRef/>
      </w:r>
      <w:r>
        <w:t xml:space="preserve"> Satellite Parties Comments at 8-10 (“assessing these costs as part of earth station regulatory fees may be a better (albeit imperfect) method of capturing these costs”).</w:t>
      </w:r>
    </w:p>
  </w:footnote>
  <w:footnote w:id="49">
    <w:p w:rsidR="00DD2A3A" w:rsidRDefault="00DD2A3A">
      <w:pPr>
        <w:pStyle w:val="FootnoteText"/>
      </w:pPr>
      <w:r>
        <w:rPr>
          <w:rStyle w:val="FootnoteReference"/>
        </w:rPr>
        <w:footnoteRef/>
      </w:r>
      <w:r>
        <w:t xml:space="preserve"> </w:t>
      </w:r>
      <w:r w:rsidRPr="00CD6602">
        <w:rPr>
          <w:i/>
        </w:rPr>
        <w:t>See, e.g</w:t>
      </w:r>
      <w:r>
        <w:t>., Echostar and DISH Comments at 5.</w:t>
      </w:r>
    </w:p>
  </w:footnote>
  <w:footnote w:id="50">
    <w:p w:rsidR="00DD2A3A" w:rsidRDefault="00DD2A3A">
      <w:pPr>
        <w:pStyle w:val="FootnoteText"/>
      </w:pPr>
      <w:r>
        <w:rPr>
          <w:rStyle w:val="FootnoteReference"/>
        </w:rPr>
        <w:footnoteRef/>
      </w:r>
      <w:r>
        <w:t xml:space="preserve"> </w:t>
      </w:r>
      <w:r w:rsidRPr="00291778">
        <w:rPr>
          <w:i/>
        </w:rPr>
        <w:t>See, e.g.</w:t>
      </w:r>
      <w:r>
        <w:t xml:space="preserve">, SIA Comments at 5.  </w:t>
      </w:r>
      <w:r w:rsidRPr="00BB65F4">
        <w:rPr>
          <w:i/>
        </w:rPr>
        <w:t>See also Comprehensive Review of Licensing and Operating Rules for Satellite Services</w:t>
      </w:r>
      <w:r>
        <w:t>, Report and Order, 28 FCC Rcd 12403 at 1205, n.2 (2013) (providing an exhaustive list of streamlined actions with respect to satellite services).</w:t>
      </w:r>
    </w:p>
  </w:footnote>
  <w:footnote w:id="51">
    <w:p w:rsidR="00DD2A3A" w:rsidRPr="00F0521E" w:rsidRDefault="00DD2A3A" w:rsidP="00232FAD">
      <w:pPr>
        <w:pStyle w:val="FootnoteText"/>
      </w:pPr>
      <w:r w:rsidRPr="00B97BD6">
        <w:rPr>
          <w:rStyle w:val="FootnoteReference"/>
        </w:rPr>
        <w:footnoteRef/>
      </w:r>
      <w:r>
        <w:t xml:space="preserve"> </w:t>
      </w:r>
      <w:r w:rsidRPr="00B96E92">
        <w:rPr>
          <w:i/>
        </w:rPr>
        <w:t>FY 2013 Report and Order</w:t>
      </w:r>
      <w:r>
        <w:t>, 28 FCC Rcd at 12352, para. 5.</w:t>
      </w:r>
    </w:p>
  </w:footnote>
  <w:footnote w:id="52">
    <w:p w:rsidR="00DD2A3A" w:rsidRDefault="00DD2A3A">
      <w:pPr>
        <w:pStyle w:val="FootnoteText"/>
      </w:pPr>
      <w:r>
        <w:rPr>
          <w:rStyle w:val="FootnoteReference"/>
        </w:rPr>
        <w:footnoteRef/>
      </w:r>
      <w:r>
        <w:t xml:space="preserve"> </w:t>
      </w:r>
      <w:r w:rsidRPr="00AC5A11">
        <w:rPr>
          <w:i/>
        </w:rPr>
        <w:t>FY 201</w:t>
      </w:r>
      <w:r>
        <w:rPr>
          <w:i/>
        </w:rPr>
        <w:t>4 NPRM</w:t>
      </w:r>
      <w:r>
        <w:t>, 29 FCC Rcd at 6428, para. 30.</w:t>
      </w:r>
    </w:p>
  </w:footnote>
  <w:footnote w:id="53">
    <w:p w:rsidR="00DD2A3A" w:rsidRDefault="00DD2A3A">
      <w:pPr>
        <w:pStyle w:val="FootnoteText"/>
      </w:pPr>
      <w:r>
        <w:rPr>
          <w:rStyle w:val="FootnoteReference"/>
        </w:rPr>
        <w:footnoteRef/>
      </w:r>
      <w:r>
        <w:t xml:space="preserve"> CTIA Comments at 2; ITTA Comments at 12-13; USTelecom Reply Comments at 2-4 (arguing that we should update the FTE count annually).</w:t>
      </w:r>
    </w:p>
  </w:footnote>
  <w:footnote w:id="54">
    <w:p w:rsidR="00DD2A3A" w:rsidRDefault="00DD2A3A" w:rsidP="00D03A26">
      <w:pPr>
        <w:pStyle w:val="FootnoteText"/>
      </w:pPr>
      <w:r>
        <w:rPr>
          <w:rStyle w:val="FootnoteReference"/>
        </w:rPr>
        <w:footnoteRef/>
      </w:r>
      <w:r>
        <w:t xml:space="preserve"> ITTA Comments at 14; USTelecom Reply Comments at 2-3.</w:t>
      </w:r>
    </w:p>
  </w:footnote>
  <w:footnote w:id="55">
    <w:p w:rsidR="00DD2A3A" w:rsidRPr="0046767F" w:rsidRDefault="00DD2A3A" w:rsidP="008D4D8D">
      <w:pPr>
        <w:pStyle w:val="FootnoteText"/>
      </w:pPr>
      <w:r>
        <w:rPr>
          <w:rStyle w:val="FootnoteReference"/>
        </w:rPr>
        <w:footnoteRef/>
      </w:r>
      <w:r>
        <w:t xml:space="preserve"> </w:t>
      </w:r>
      <w:r w:rsidRPr="0046767F">
        <w:t>E.g., revenue information is provided in the FCC Form 499-A, due April 1 each year</w:t>
      </w:r>
      <w:r>
        <w:t>, and</w:t>
      </w:r>
      <w:r w:rsidRPr="0046767F">
        <w:t xml:space="preserve"> Media Bureau licensees file data in June and July</w:t>
      </w:r>
      <w:r>
        <w:t>.</w:t>
      </w:r>
      <w:r w:rsidRPr="0046767F">
        <w:t xml:space="preserve"> </w:t>
      </w:r>
      <w:r>
        <w:t xml:space="preserve"> In addition, t</w:t>
      </w:r>
      <w:r w:rsidRPr="00676EF9">
        <w:rPr>
          <w:color w:val="000000"/>
        </w:rPr>
        <w:t xml:space="preserve">he Circuit Status Report, which contains bearer circuit and submarine cable information, is filed with the International Bureau by March 31 </w:t>
      </w:r>
      <w:r>
        <w:rPr>
          <w:color w:val="000000"/>
        </w:rPr>
        <w:t xml:space="preserve">each year.  After the International Bureau staff </w:t>
      </w:r>
      <w:r w:rsidRPr="00676EF9">
        <w:rPr>
          <w:color w:val="000000"/>
        </w:rPr>
        <w:t>analyze</w:t>
      </w:r>
      <w:r>
        <w:rPr>
          <w:color w:val="000000"/>
        </w:rPr>
        <w:t>s this information</w:t>
      </w:r>
      <w:r w:rsidRPr="00676EF9">
        <w:rPr>
          <w:color w:val="000000"/>
        </w:rPr>
        <w:t xml:space="preserve"> and request</w:t>
      </w:r>
      <w:r>
        <w:rPr>
          <w:color w:val="000000"/>
        </w:rPr>
        <w:t>s</w:t>
      </w:r>
      <w:r w:rsidRPr="00676EF9">
        <w:rPr>
          <w:color w:val="000000"/>
        </w:rPr>
        <w:t xml:space="preserve"> supporting data</w:t>
      </w:r>
      <w:r>
        <w:rPr>
          <w:color w:val="000000"/>
        </w:rPr>
        <w:t xml:space="preserve">, </w:t>
      </w:r>
      <w:r w:rsidRPr="00676EF9">
        <w:rPr>
          <w:color w:val="000000"/>
        </w:rPr>
        <w:t>the final data is usually provided to the Managing Director in June .</w:t>
      </w:r>
    </w:p>
  </w:footnote>
  <w:footnote w:id="56">
    <w:p w:rsidR="00DD2A3A" w:rsidRDefault="00DD2A3A">
      <w:pPr>
        <w:pStyle w:val="FootnoteText"/>
      </w:pPr>
      <w:r>
        <w:rPr>
          <w:rStyle w:val="FootnoteReference"/>
        </w:rPr>
        <w:footnoteRef/>
      </w:r>
      <w:r>
        <w:t xml:space="preserve"> The Commission’s </w:t>
      </w:r>
      <w:r w:rsidRPr="00C16F6C">
        <w:rPr>
          <w:i/>
        </w:rPr>
        <w:t>Process Reform Report</w:t>
      </w:r>
      <w:r>
        <w:t>, 29 FCC Rcd 1338 (2014), also seeks comment on this issue.</w:t>
      </w:r>
    </w:p>
  </w:footnote>
  <w:footnote w:id="57">
    <w:p w:rsidR="00DD2A3A" w:rsidRPr="00FE2F75" w:rsidRDefault="00DD2A3A">
      <w:pPr>
        <w:pStyle w:val="FootnoteText"/>
      </w:pPr>
      <w:r w:rsidRPr="00FE2F75">
        <w:rPr>
          <w:rStyle w:val="FootnoteReference"/>
        </w:rPr>
        <w:footnoteRef/>
      </w:r>
      <w:r w:rsidRPr="00FE2F75">
        <w:t xml:space="preserve"> </w:t>
      </w:r>
      <w:r w:rsidRPr="00FE2F75">
        <w:rPr>
          <w:i/>
        </w:rPr>
        <w:t>FY 2014 NPRM</w:t>
      </w:r>
      <w:r w:rsidRPr="00FE2F75">
        <w:t xml:space="preserve">, 29 FCC Rcd at 6428-29, paras. 31-32.    .  </w:t>
      </w:r>
    </w:p>
  </w:footnote>
  <w:footnote w:id="58">
    <w:p w:rsidR="00DD2A3A" w:rsidRPr="00FE2F75" w:rsidRDefault="00DD2A3A">
      <w:pPr>
        <w:pStyle w:val="FootnoteText"/>
      </w:pPr>
      <w:r w:rsidRPr="00FE2F75">
        <w:rPr>
          <w:rStyle w:val="FootnoteReference"/>
        </w:rPr>
        <w:footnoteRef/>
      </w:r>
      <w:r w:rsidRPr="00FE2F75">
        <w:t xml:space="preserve"> ACA Comments at 9-13.</w:t>
      </w:r>
    </w:p>
  </w:footnote>
  <w:footnote w:id="59">
    <w:p w:rsidR="00DD2A3A" w:rsidRDefault="00DD2A3A">
      <w:pPr>
        <w:pStyle w:val="FootnoteText"/>
      </w:pPr>
      <w:r w:rsidRPr="00FE2F75">
        <w:rPr>
          <w:rStyle w:val="FootnoteReference"/>
        </w:rPr>
        <w:footnoteRef/>
      </w:r>
      <w:r w:rsidRPr="00FE2F75">
        <w:t xml:space="preserve"> For example, figures from our FY 2013 regulatory fee collections show that increasing the de minimis threshold to $500 would have decreased the amount collected from cable licensees by only .125% and making the same change for ITSPs would have decreased collections for that fee category by only .04%.</w:t>
      </w:r>
    </w:p>
  </w:footnote>
  <w:footnote w:id="60">
    <w:p w:rsidR="00DD2A3A" w:rsidRDefault="00DD2A3A">
      <w:pPr>
        <w:pStyle w:val="FootnoteText"/>
      </w:pPr>
      <w:r>
        <w:rPr>
          <w:rStyle w:val="FootnoteReference"/>
        </w:rPr>
        <w:footnoteRef/>
      </w:r>
      <w:r>
        <w:t xml:space="preserve"> ACA Comments at 12.</w:t>
      </w:r>
    </w:p>
  </w:footnote>
  <w:footnote w:id="61">
    <w:p w:rsidR="00DD2A3A" w:rsidRDefault="00DD2A3A">
      <w:pPr>
        <w:pStyle w:val="FootnoteText"/>
      </w:pPr>
      <w:r>
        <w:rPr>
          <w:rStyle w:val="FootnoteReference"/>
        </w:rPr>
        <w:footnoteRef/>
      </w:r>
      <w:r>
        <w:t xml:space="preserve"> NAB Comments at 2.</w:t>
      </w:r>
    </w:p>
  </w:footnote>
  <w:footnote w:id="62">
    <w:p w:rsidR="00DD2A3A" w:rsidRDefault="00DD2A3A" w:rsidP="0000777B">
      <w:pPr>
        <w:pStyle w:val="FootnoteText"/>
      </w:pPr>
      <w:r>
        <w:rPr>
          <w:rStyle w:val="FootnoteReference"/>
        </w:rPr>
        <w:footnoteRef/>
      </w:r>
      <w:r>
        <w:t xml:space="preserve"> AT&amp;T Comments at 3.  </w:t>
      </w:r>
      <w:r w:rsidRPr="00BD7C86">
        <w:rPr>
          <w:i/>
        </w:rPr>
        <w:t>See also</w:t>
      </w:r>
      <w:r>
        <w:t xml:space="preserve"> CTIA Comments at 12.</w:t>
      </w:r>
    </w:p>
  </w:footnote>
  <w:footnote w:id="63">
    <w:p w:rsidR="00DD2A3A" w:rsidRDefault="00DD2A3A" w:rsidP="0000777B">
      <w:pPr>
        <w:pStyle w:val="FootnoteText"/>
      </w:pPr>
      <w:r>
        <w:rPr>
          <w:rStyle w:val="FootnoteReference"/>
        </w:rPr>
        <w:footnoteRef/>
      </w:r>
      <w:r>
        <w:t xml:space="preserve"> The Commission estimates that the cost of researching, creating, and sending a bill to a non-payer bill, and completing all follow-up discussion and correspondence, totals more than $350.  This sum does not include overhead or the </w:t>
      </w:r>
      <w:r w:rsidRPr="00C06874">
        <w:t>more difficult to quantify administrative costs of administering the regulatory fee program generally</w:t>
      </w:r>
      <w:r>
        <w:t>.</w:t>
      </w:r>
    </w:p>
  </w:footnote>
  <w:footnote w:id="64">
    <w:p w:rsidR="00DD2A3A" w:rsidRDefault="00DD2A3A">
      <w:pPr>
        <w:pStyle w:val="FootnoteText"/>
      </w:pPr>
      <w:r>
        <w:rPr>
          <w:rStyle w:val="FootnoteReference"/>
        </w:rPr>
        <w:footnoteRef/>
      </w:r>
      <w:r>
        <w:t xml:space="preserve"> Amateur stations are normally assigned the next available call sign, based on the licensee’s geographic region and license status, i.e., a sequential call sign.  47 C.F.R. § 97.17(d).  The licensee can request a specific unassigned but assignable call sign, known as a vanity call sign.</w:t>
      </w:r>
      <w:r w:rsidRPr="00A9297F">
        <w:t xml:space="preserve"> </w:t>
      </w:r>
      <w:r>
        <w:t xml:space="preserve">47 C.F.R. § 97.19.  </w:t>
      </w:r>
    </w:p>
  </w:footnote>
  <w:footnote w:id="65">
    <w:p w:rsidR="00DD2A3A" w:rsidRDefault="00DD2A3A">
      <w:pPr>
        <w:pStyle w:val="FootnoteText"/>
      </w:pPr>
      <w:r>
        <w:rPr>
          <w:rStyle w:val="FootnoteReference"/>
        </w:rPr>
        <w:footnoteRef/>
      </w:r>
      <w:r>
        <w:t xml:space="preserve"> </w:t>
      </w:r>
      <w:r w:rsidRPr="00EC7C0F">
        <w:t>GMRS is a land-mobile radio service available for short-distance two-way communications to facilitate the activities of a</w:t>
      </w:r>
      <w:r>
        <w:t xml:space="preserve"> licensee </w:t>
      </w:r>
      <w:r w:rsidRPr="00EC7C0F">
        <w:t xml:space="preserve">and his or her immediate family members. </w:t>
      </w:r>
      <w:r>
        <w:t xml:space="preserve"> </w:t>
      </w:r>
      <w:r w:rsidRPr="00EC7C0F">
        <w:rPr>
          <w:i/>
        </w:rPr>
        <w:t>See</w:t>
      </w:r>
      <w:r w:rsidRPr="00EC7C0F">
        <w:t xml:space="preserve"> 47 C.F.R. §</w:t>
      </w:r>
      <w:r>
        <w:t xml:space="preserve"> </w:t>
      </w:r>
      <w:r w:rsidRPr="00EC7C0F">
        <w:t>95.</w:t>
      </w:r>
      <w:r>
        <w:t>1</w:t>
      </w:r>
      <w:r w:rsidRPr="00EC7C0F">
        <w:t>.</w:t>
      </w:r>
      <w:r>
        <w:t xml:space="preserve"> We initially proposed eliminating regulatory fees for GMRS</w:t>
      </w:r>
      <w:r w:rsidRPr="002833F8">
        <w:t xml:space="preserve"> </w:t>
      </w:r>
      <w:r>
        <w:t xml:space="preserve">in the </w:t>
      </w:r>
      <w:r w:rsidRPr="00520D66">
        <w:rPr>
          <w:i/>
        </w:rPr>
        <w:t>FY 2008 Further Notice</w:t>
      </w:r>
      <w:r>
        <w:t xml:space="preserve">.  </w:t>
      </w:r>
      <w:r w:rsidRPr="00520D66">
        <w:rPr>
          <w:i/>
        </w:rPr>
        <w:t>See FY 2008 Further Notice</w:t>
      </w:r>
      <w:r>
        <w:t>, 24 FCC Rcd at 6409, para. 57.</w:t>
      </w:r>
    </w:p>
  </w:footnote>
  <w:footnote w:id="66">
    <w:p w:rsidR="00DD2A3A" w:rsidRDefault="00DD2A3A">
      <w:pPr>
        <w:pStyle w:val="FootnoteText"/>
      </w:pPr>
      <w:r>
        <w:rPr>
          <w:rStyle w:val="FootnoteReference"/>
        </w:rPr>
        <w:footnoteRef/>
      </w:r>
      <w:r>
        <w:t xml:space="preserve"> CTIA opposes this proposal because the exclusion of some categories would shift the burden to other categories.  </w:t>
      </w:r>
      <w:r w:rsidRPr="006124E8">
        <w:rPr>
          <w:i/>
        </w:rPr>
        <w:t>See</w:t>
      </w:r>
      <w:r>
        <w:t xml:space="preserve"> CTIA Comments at 12-13.  These fee categories, however, account for a very small portion of annual regulatory fees.  R. Knowles suggests that we eliminate the application fee instead of the regulatory fee.  R. Knowles Comments at 4-7.  In Reply Comments, however, Mr. Knowles recommends we eliminate the GMRS regulatory fee.  </w:t>
      </w:r>
      <w:r w:rsidRPr="001B56BF">
        <w:rPr>
          <w:i/>
        </w:rPr>
        <w:t xml:space="preserve">See </w:t>
      </w:r>
      <w:r>
        <w:t>R.Knowles Reply Comments at 1-5</w:t>
      </w:r>
      <w:r w:rsidRPr="00FE2F75">
        <w:t>.  As noted below, we will not eliminate the GMRS regulatory fee because we do not yet have an adequate record to support it.</w:t>
      </w:r>
    </w:p>
  </w:footnote>
  <w:footnote w:id="67">
    <w:p w:rsidR="00DD2A3A" w:rsidRDefault="00DD2A3A">
      <w:pPr>
        <w:pStyle w:val="FootnoteText"/>
      </w:pPr>
      <w:r>
        <w:rPr>
          <w:rStyle w:val="FootnoteReference"/>
        </w:rPr>
        <w:footnoteRef/>
      </w:r>
      <w:r>
        <w:t xml:space="preserve"> </w:t>
      </w:r>
      <w:r w:rsidRPr="007F5FA3">
        <w:t xml:space="preserve">Broadcast Auxiliary stations are used for relaying broadcast aural and television signals. </w:t>
      </w:r>
      <w:r>
        <w:t xml:space="preserve"> </w:t>
      </w:r>
      <w:r w:rsidRPr="007F5FA3">
        <w:t>They can be used to relay signals from the studio to the transmitter, or between two points, such as a main studio and an auxiliary studio. The Broadcast Auxiliary services also include mobile TV pickups and remote pickup stations which relay signals from a remote location, back to the studio.</w:t>
      </w:r>
    </w:p>
  </w:footnote>
  <w:footnote w:id="68">
    <w:p w:rsidR="00DD2A3A" w:rsidRDefault="00DD2A3A">
      <w:pPr>
        <w:pStyle w:val="FootnoteText"/>
      </w:pPr>
      <w:r>
        <w:rPr>
          <w:rStyle w:val="FootnoteReference"/>
        </w:rPr>
        <w:footnoteRef/>
      </w:r>
      <w:r>
        <w:t xml:space="preserve"> </w:t>
      </w:r>
      <w:r w:rsidRPr="00017C6B">
        <w:rPr>
          <w:i/>
        </w:rPr>
        <w:t>See, e.g</w:t>
      </w:r>
      <w:r>
        <w:t>., K. Harrison Comments at 2; NAB Comments at 2; R. Knowles Reply Comments at 1-5.</w:t>
      </w:r>
    </w:p>
  </w:footnote>
  <w:footnote w:id="69">
    <w:p w:rsidR="00DD2A3A" w:rsidRDefault="00DD2A3A" w:rsidP="00A10025">
      <w:pPr>
        <w:pStyle w:val="FootnoteText"/>
      </w:pPr>
      <w:r>
        <w:rPr>
          <w:rStyle w:val="FootnoteReference"/>
        </w:rPr>
        <w:footnoteRef/>
      </w:r>
      <w:r>
        <w:t xml:space="preserve"> CMA Comments at 3-5.</w:t>
      </w:r>
    </w:p>
  </w:footnote>
  <w:footnote w:id="70">
    <w:p w:rsidR="00DD2A3A" w:rsidRDefault="00DD2A3A" w:rsidP="00A10025">
      <w:pPr>
        <w:pStyle w:val="FootnoteText"/>
      </w:pPr>
      <w:r>
        <w:rPr>
          <w:rStyle w:val="FootnoteReference"/>
        </w:rPr>
        <w:footnoteRef/>
      </w:r>
      <w:r>
        <w:t xml:space="preserve"> ASRI Comments at 6.</w:t>
      </w:r>
      <w:r w:rsidRPr="00A10025">
        <w:t xml:space="preserve"> </w:t>
      </w:r>
    </w:p>
  </w:footnote>
  <w:footnote w:id="71">
    <w:p w:rsidR="00DD2A3A" w:rsidRDefault="00DD2A3A" w:rsidP="00F97911">
      <w:pPr>
        <w:pStyle w:val="FootnoteText"/>
      </w:pPr>
      <w:r w:rsidRPr="00DB1414">
        <w:rPr>
          <w:rStyle w:val="FootnoteReference"/>
        </w:rPr>
        <w:footnoteRef/>
      </w:r>
      <w:r w:rsidRPr="00DB1414">
        <w:t xml:space="preserve"> T. Cowan Comments at 1 (suggesting we also eliminate regulatory fees for Broadcast Auxiliaries and Translators); NAB Comments at 2 (suggesting we eliminate regulatory fees for Broadcast Auxiliaries, Low Power TV/Class A Television, and TV/FM Translators and Boosters.  We are eliminating broadcast auxiliaries, but not translators and boosters or low power TV/Class A television, at this time because translators and boosters are still an integral part of radio and television operations, whereas broadcast auxiliaries only carry the signal forward.  As a result, compared to broadcast auxiliaries, the fee revenue derived from translators and boosters is approximately six times greater ($1.57 million versus .26 million), which the Commission would still need to recoup.</w:t>
      </w:r>
      <w:r>
        <w:t xml:space="preserve"> </w:t>
      </w:r>
      <w:r w:rsidRPr="00DB1414">
        <w:t xml:space="preserve"> However, in instances in which a regulate</w:t>
      </w:r>
      <w:r>
        <w:t>e</w:t>
      </w:r>
      <w:r w:rsidRPr="00DB1414">
        <w:t xml:space="preserve"> has one translator/booster license, </w:t>
      </w:r>
      <w:r>
        <w:t xml:space="preserve">it </w:t>
      </w:r>
      <w:r w:rsidRPr="00DB1414">
        <w:t xml:space="preserve">would be exempt from regulatory fees because </w:t>
      </w:r>
      <w:r>
        <w:t xml:space="preserve">it </w:t>
      </w:r>
      <w:r w:rsidRPr="00DB1414">
        <w:t xml:space="preserve">would meet the de minimis threshold. </w:t>
      </w:r>
    </w:p>
  </w:footnote>
  <w:footnote w:id="72">
    <w:p w:rsidR="00DD2A3A" w:rsidRDefault="00DD2A3A">
      <w:pPr>
        <w:pStyle w:val="FootnoteText"/>
      </w:pPr>
      <w:r>
        <w:rPr>
          <w:rStyle w:val="FootnoteReference"/>
        </w:rPr>
        <w:footnoteRef/>
      </w:r>
      <w:r>
        <w:t xml:space="preserve"> The 218-</w:t>
      </w:r>
      <w:r w:rsidRPr="008156AF">
        <w:t>219 MHz Service (formerly known as the Interactive Video and Data Service (</w:t>
      </w:r>
      <w:r>
        <w:t>or IVDS)) is in the 218-</w:t>
      </w:r>
      <w:r w:rsidRPr="008156AF">
        <w:t>219 MHz spectrum range. The 218-219 MHz Service spectrum is suitable for providing fixed or mobile services.</w:t>
      </w:r>
    </w:p>
  </w:footnote>
  <w:footnote w:id="73">
    <w:p w:rsidR="00DD2A3A" w:rsidRDefault="00DD2A3A" w:rsidP="00E7587D">
      <w:pPr>
        <w:pStyle w:val="FootnoteText"/>
      </w:pPr>
      <w:r>
        <w:rPr>
          <w:rStyle w:val="FootnoteReference"/>
        </w:rPr>
        <w:footnoteRef/>
      </w:r>
      <w:r>
        <w:t xml:space="preserve"> 47 U.S.C. §§ 52.101 (e), (f).</w:t>
      </w:r>
    </w:p>
  </w:footnote>
  <w:footnote w:id="74">
    <w:p w:rsidR="00DD2A3A" w:rsidRDefault="00DD2A3A" w:rsidP="007C38E2">
      <w:pPr>
        <w:pStyle w:val="FootnoteText"/>
      </w:pPr>
      <w:r>
        <w:rPr>
          <w:rStyle w:val="FootnoteReference"/>
        </w:rPr>
        <w:footnoteRef/>
      </w:r>
      <w:r>
        <w:t xml:space="preserve"> Toll </w:t>
      </w:r>
      <w:r w:rsidRPr="00AF1916">
        <w:t>free numbers are telephone numbers for which the toll charges for compl</w:t>
      </w:r>
      <w:r>
        <w:t xml:space="preserve">eted calls are paid by the toll </w:t>
      </w:r>
      <w:r w:rsidRPr="00AF1916">
        <w:t xml:space="preserve">free subscriber.  </w:t>
      </w:r>
      <w:r w:rsidRPr="00995C9F">
        <w:rPr>
          <w:i/>
        </w:rPr>
        <w:t>See</w:t>
      </w:r>
      <w:r w:rsidRPr="00AF1916">
        <w:t xml:space="preserve"> 47 C.F.R. § 52.101(f).  </w:t>
      </w:r>
      <w:r>
        <w:t xml:space="preserve">These are </w:t>
      </w:r>
      <w:r w:rsidRPr="00995C9F">
        <w:t>800, 888, 877, 866, 855, or 844 numbers</w:t>
      </w:r>
      <w:r>
        <w:t>.</w:t>
      </w:r>
      <w:r w:rsidRPr="00FA37A3">
        <w:t xml:space="preserve"> </w:t>
      </w:r>
      <w:r>
        <w:t xml:space="preserve">SMS/800 (or the 800 Service Management System) is a centralized system that performs toll free number management. For a list of RespOrgs on the SMS/800 website, </w:t>
      </w:r>
      <w:r w:rsidRPr="00A12D52">
        <w:rPr>
          <w:i/>
        </w:rPr>
        <w:t>see</w:t>
      </w:r>
      <w:r>
        <w:t xml:space="preserve"> </w:t>
      </w:r>
      <w:hyperlink r:id="rId1" w:history="1">
        <w:r w:rsidRPr="00A12D52">
          <w:rPr>
            <w:rStyle w:val="Hyperlink"/>
          </w:rPr>
          <w:t>http://www.sms800.com/Controls/NAC/Serviceprovider.aspx</w:t>
        </w:r>
      </w:hyperlink>
      <w:r>
        <w:t>.</w:t>
      </w:r>
    </w:p>
  </w:footnote>
  <w:footnote w:id="75">
    <w:p w:rsidR="00DD2A3A" w:rsidRDefault="00DD2A3A" w:rsidP="00F90FEF">
      <w:pPr>
        <w:pStyle w:val="FootnoteText"/>
      </w:pPr>
      <w:r>
        <w:rPr>
          <w:rStyle w:val="FootnoteReference"/>
        </w:rPr>
        <w:footnoteRef/>
      </w:r>
      <w:r>
        <w:t xml:space="preserve"> </w:t>
      </w:r>
      <w:r w:rsidRPr="00927E1D">
        <w:rPr>
          <w:i/>
        </w:rPr>
        <w:t>See generally, Universal Service Contribution Methodology</w:t>
      </w:r>
      <w:r>
        <w:t>, Further Notice of Proposed Rulemaking, 27 FCC Rcd 5357, 5463-64, para. 306 (2012).</w:t>
      </w:r>
    </w:p>
  </w:footnote>
  <w:footnote w:id="76">
    <w:p w:rsidR="00DD2A3A" w:rsidRDefault="00DD2A3A" w:rsidP="00F90FEF">
      <w:pPr>
        <w:pStyle w:val="FootnoteText"/>
      </w:pPr>
      <w:r>
        <w:rPr>
          <w:rStyle w:val="FootnoteReference"/>
        </w:rPr>
        <w:footnoteRef/>
      </w:r>
      <w:r>
        <w:t xml:space="preserve"> </w:t>
      </w:r>
      <w:r w:rsidRPr="00AC5A11">
        <w:rPr>
          <w:i/>
        </w:rPr>
        <w:t>FY 201</w:t>
      </w:r>
      <w:r>
        <w:rPr>
          <w:i/>
        </w:rPr>
        <w:t>4 NPRM</w:t>
      </w:r>
      <w:r>
        <w:t>, 29 FCC Rcd at 6434-35, para. 51.</w:t>
      </w:r>
    </w:p>
  </w:footnote>
  <w:footnote w:id="77">
    <w:p w:rsidR="00DD2A3A" w:rsidRDefault="00DD2A3A" w:rsidP="00F90FEF">
      <w:pPr>
        <w:pStyle w:val="FootnoteText"/>
      </w:pPr>
      <w:r>
        <w:rPr>
          <w:rStyle w:val="FootnoteReference"/>
        </w:rPr>
        <w:footnoteRef/>
      </w:r>
      <w:r>
        <w:t xml:space="preserve"> A</w:t>
      </w:r>
      <w:r w:rsidRPr="00222625">
        <w:t xml:space="preserve"> RespOrg is a company </w:t>
      </w:r>
      <w:r>
        <w:t>that</w:t>
      </w:r>
      <w:r w:rsidRPr="00222625">
        <w:t xml:space="preserve"> </w:t>
      </w:r>
      <w:r>
        <w:t>manages</w:t>
      </w:r>
      <w:r w:rsidRPr="00222625">
        <w:t xml:space="preserve"> toll</w:t>
      </w:r>
      <w:r>
        <w:t xml:space="preserve"> </w:t>
      </w:r>
      <w:r w:rsidRPr="00222625">
        <w:t xml:space="preserve">free telephone numbers </w:t>
      </w:r>
      <w:r>
        <w:t>for subscribers</w:t>
      </w:r>
      <w:r w:rsidRPr="00222625">
        <w:t>.</w:t>
      </w:r>
      <w:r w:rsidRPr="0053390F">
        <w:t xml:space="preserve"> </w:t>
      </w:r>
      <w:r>
        <w:t xml:space="preserve"> They use the SMS/800 data base to verify the availability of specific numbers and to reserve the numbers for subscribers.</w:t>
      </w:r>
      <w:r w:rsidRPr="00B64A88">
        <w:t xml:space="preserve"> </w:t>
      </w:r>
      <w:r>
        <w:t xml:space="preserve"> </w:t>
      </w:r>
      <w:r w:rsidRPr="00995C9F">
        <w:rPr>
          <w:i/>
        </w:rPr>
        <w:t>See</w:t>
      </w:r>
      <w:r w:rsidRPr="00AF1916">
        <w:t xml:space="preserve"> 47 C.F.R. § 52.101(</w:t>
      </w:r>
      <w:r>
        <w:t>b</w:t>
      </w:r>
      <w:r w:rsidRPr="00AF1916">
        <w:t xml:space="preserve">).  </w:t>
      </w:r>
    </w:p>
  </w:footnote>
  <w:footnote w:id="78">
    <w:p w:rsidR="00DD2A3A" w:rsidRDefault="00DD2A3A" w:rsidP="00F90FEF">
      <w:pPr>
        <w:pStyle w:val="FootnoteText"/>
      </w:pPr>
      <w:r>
        <w:rPr>
          <w:rStyle w:val="FootnoteReference"/>
        </w:rPr>
        <w:footnoteRef/>
      </w:r>
      <w:r>
        <w:t xml:space="preserve"> In the </w:t>
      </w:r>
      <w:r w:rsidRPr="00E96527">
        <w:rPr>
          <w:i/>
        </w:rPr>
        <w:t>FY 2014 Further Notice</w:t>
      </w:r>
      <w:r>
        <w:t xml:space="preserve"> we asked commenters whether we should assess regulatory fees on working</w:t>
      </w:r>
      <w:r w:rsidRPr="00810C0D">
        <w:t>, assigned</w:t>
      </w:r>
      <w:r>
        <w:t>,</w:t>
      </w:r>
      <w:r w:rsidRPr="00810C0D">
        <w:t xml:space="preserve"> and reserved </w:t>
      </w:r>
      <w:r>
        <w:t xml:space="preserve">toll free numbers if we should assess regulatory fees for toll free numbers that are in the “transit” status, </w:t>
      </w:r>
      <w:r w:rsidRPr="00810C0D">
        <w:t>or any other status</w:t>
      </w:r>
      <w:r>
        <w:t xml:space="preserve"> as defined in section 52.103 of the Commission’s rules.</w:t>
      </w:r>
      <w:r w:rsidRPr="00E96527">
        <w:rPr>
          <w:i/>
        </w:rPr>
        <w:t xml:space="preserve"> </w:t>
      </w:r>
      <w:r>
        <w:rPr>
          <w:i/>
        </w:rPr>
        <w:t xml:space="preserve"> </w:t>
      </w:r>
      <w:r w:rsidRPr="00AC5A11">
        <w:rPr>
          <w:i/>
        </w:rPr>
        <w:t>FY 201</w:t>
      </w:r>
      <w:r>
        <w:rPr>
          <w:i/>
        </w:rPr>
        <w:t>4 NPRM</w:t>
      </w:r>
      <w:r>
        <w:t>, 29 FCC Rcd at 6434-35, para. 51.</w:t>
      </w:r>
    </w:p>
  </w:footnote>
  <w:footnote w:id="79">
    <w:p w:rsidR="00DD2A3A" w:rsidRDefault="00DD2A3A" w:rsidP="00F65E57">
      <w:pPr>
        <w:pStyle w:val="FootnoteText"/>
      </w:pPr>
      <w:r>
        <w:rPr>
          <w:rStyle w:val="FootnoteReference"/>
        </w:rPr>
        <w:footnoteRef/>
      </w:r>
      <w:r>
        <w:t xml:space="preserve"> </w:t>
      </w:r>
      <w:r w:rsidRPr="004E4550">
        <w:rPr>
          <w:i/>
        </w:rPr>
        <w:t xml:space="preserve">Toll Free </w:t>
      </w:r>
      <w:r>
        <w:rPr>
          <w:i/>
        </w:rPr>
        <w:t xml:space="preserve">Access Codes, </w:t>
      </w:r>
      <w:r w:rsidRPr="00A803E9">
        <w:t>Second Report and Order</w:t>
      </w:r>
      <w:r>
        <w:t xml:space="preserve"> and Further Notice of Proposed Rulemaking, 12 FCC Rcd 11162, 11178-79, para. 22 (1997) (</w:t>
      </w:r>
      <w:r w:rsidRPr="00A803E9">
        <w:rPr>
          <w:i/>
        </w:rPr>
        <w:t>Toll Free Second Report and Order</w:t>
      </w:r>
      <w:r>
        <w:t>) (Sections 201(b) and 251(e) of the Act “empower the Commission to ensure that toll free numbers . . . are allocated in an equitable and orderly manner that serves the public interest.”)</w:t>
      </w:r>
    </w:p>
  </w:footnote>
  <w:footnote w:id="80">
    <w:p w:rsidR="00DD2A3A" w:rsidRDefault="00DD2A3A" w:rsidP="00F65E57">
      <w:pPr>
        <w:pStyle w:val="FootnoteText"/>
      </w:pPr>
      <w:r>
        <w:rPr>
          <w:rStyle w:val="FootnoteReference"/>
        </w:rPr>
        <w:footnoteRef/>
      </w:r>
      <w:r>
        <w:t xml:space="preserve"> We will seek comment on the fee rate in our annual regulatory fee notice of proposed rulemaking next year.</w:t>
      </w:r>
    </w:p>
  </w:footnote>
  <w:footnote w:id="81">
    <w:p w:rsidR="00DD2A3A" w:rsidRDefault="00DD2A3A" w:rsidP="00F65E57">
      <w:pPr>
        <w:pStyle w:val="FootnoteText"/>
      </w:pPr>
      <w:r>
        <w:rPr>
          <w:rStyle w:val="FootnoteReference"/>
        </w:rPr>
        <w:footnoteRef/>
      </w:r>
      <w:r>
        <w:t xml:space="preserve"> 47 U.S.C. § 251(e)(1).</w:t>
      </w:r>
    </w:p>
  </w:footnote>
  <w:footnote w:id="82">
    <w:p w:rsidR="00DD2A3A" w:rsidRDefault="00DD2A3A" w:rsidP="00F65E57">
      <w:pPr>
        <w:pStyle w:val="FootnoteText"/>
      </w:pPr>
      <w:r>
        <w:rPr>
          <w:rStyle w:val="FootnoteReference"/>
        </w:rPr>
        <w:footnoteRef/>
      </w:r>
      <w:r>
        <w:t xml:space="preserve"> </w:t>
      </w:r>
      <w:r w:rsidRPr="00064BD5">
        <w:rPr>
          <w:i/>
        </w:rPr>
        <w:t>See, e.g., Richard Jackowitz, IT Connect, Inc</w:t>
      </w:r>
      <w:r w:rsidRPr="00CF4F47">
        <w:t xml:space="preserve">., Notice of Apparent Liability for Forfeiture, </w:t>
      </w:r>
      <w:r>
        <w:t>29 FCC Rcd 3318</w:t>
      </w:r>
      <w:r w:rsidRPr="00CF4F47">
        <w:t xml:space="preserve"> </w:t>
      </w:r>
      <w:r>
        <w:t>(</w:t>
      </w:r>
      <w:r w:rsidRPr="00CF4F47">
        <w:t xml:space="preserve">2014); </w:t>
      </w:r>
      <w:r w:rsidRPr="00064BD5">
        <w:rPr>
          <w:i/>
        </w:rPr>
        <w:t>Richard Jackowitz, IT Connect, Inc</w:t>
      </w:r>
      <w:r w:rsidRPr="00CF4F47">
        <w:t xml:space="preserve">., Notice of Apparent Liability for Forfeiture, 28 FCC Rcd 6692 (2013); </w:t>
      </w:r>
      <w:r w:rsidRPr="00064BD5">
        <w:rPr>
          <w:i/>
        </w:rPr>
        <w:t>Telseven, LLC, et al</w:t>
      </w:r>
      <w:r w:rsidRPr="00CF4F47">
        <w:t>., Notice of Apparent Liability for Forfeiture, 27 FCC Rcd 15558 (2013).</w:t>
      </w:r>
    </w:p>
  </w:footnote>
  <w:footnote w:id="83">
    <w:p w:rsidR="00DD2A3A" w:rsidRDefault="00DD2A3A" w:rsidP="00F65E57">
      <w:pPr>
        <w:pStyle w:val="FootnoteText"/>
      </w:pPr>
      <w:r>
        <w:rPr>
          <w:rStyle w:val="FootnoteReference"/>
        </w:rPr>
        <w:footnoteRef/>
      </w:r>
      <w:r>
        <w:t xml:space="preserve"> </w:t>
      </w:r>
      <w:r w:rsidRPr="00064BD5">
        <w:rPr>
          <w:i/>
        </w:rPr>
        <w:t xml:space="preserve">See, e.g., Toll Free </w:t>
      </w:r>
      <w:r>
        <w:rPr>
          <w:i/>
        </w:rPr>
        <w:t>Second Report and Order</w:t>
      </w:r>
      <w:r w:rsidRPr="00C5551F">
        <w:t>, 12 FCC Rcd 11162 (1997).</w:t>
      </w:r>
    </w:p>
  </w:footnote>
  <w:footnote w:id="84">
    <w:p w:rsidR="00DD2A3A" w:rsidRDefault="00DD2A3A" w:rsidP="00F65E57">
      <w:pPr>
        <w:pStyle w:val="FootnoteText"/>
      </w:pPr>
      <w:r>
        <w:rPr>
          <w:rStyle w:val="FootnoteReference"/>
        </w:rPr>
        <w:footnoteRef/>
      </w:r>
      <w:r>
        <w:t xml:space="preserve"> 47 U.S.C. § 159(a)(1).</w:t>
      </w:r>
    </w:p>
  </w:footnote>
  <w:footnote w:id="85">
    <w:p w:rsidR="00DD2A3A" w:rsidRDefault="00DD2A3A" w:rsidP="00F65E57">
      <w:pPr>
        <w:pStyle w:val="FootnoteText"/>
      </w:pPr>
      <w:r>
        <w:rPr>
          <w:rStyle w:val="FootnoteReference"/>
        </w:rPr>
        <w:footnoteRef/>
      </w:r>
      <w:r>
        <w:t xml:space="preserve"> </w:t>
      </w:r>
      <w:r w:rsidRPr="00225E89">
        <w:rPr>
          <w:i/>
        </w:rPr>
        <w:t xml:space="preserve">See Toll Free </w:t>
      </w:r>
      <w:r>
        <w:rPr>
          <w:i/>
        </w:rPr>
        <w:t>Second Report and Order</w:t>
      </w:r>
      <w:r>
        <w:t>, 12 FCC Rcd at 11176, para. 18.</w:t>
      </w:r>
    </w:p>
  </w:footnote>
  <w:footnote w:id="86">
    <w:p w:rsidR="00DD2A3A" w:rsidRDefault="00DD2A3A" w:rsidP="00F65E57">
      <w:pPr>
        <w:pStyle w:val="FootnoteText"/>
      </w:pPr>
      <w:r>
        <w:rPr>
          <w:rStyle w:val="FootnoteReference"/>
        </w:rPr>
        <w:footnoteRef/>
      </w:r>
      <w:r>
        <w:t xml:space="preserve"> </w:t>
      </w:r>
      <w:r w:rsidRPr="00A803E9">
        <w:rPr>
          <w:i/>
        </w:rPr>
        <w:t>Id</w:t>
      </w:r>
      <w:r>
        <w:t>., 12 FCC Rcd at 11178-79, para. 22.</w:t>
      </w:r>
    </w:p>
  </w:footnote>
  <w:footnote w:id="87">
    <w:p w:rsidR="00DD2A3A" w:rsidRDefault="00DD2A3A" w:rsidP="00F65E57">
      <w:pPr>
        <w:pStyle w:val="FootnoteText"/>
      </w:pPr>
      <w:r>
        <w:rPr>
          <w:rStyle w:val="FootnoteReference"/>
        </w:rPr>
        <w:footnoteRef/>
      </w:r>
      <w:r>
        <w:t xml:space="preserve"> </w:t>
      </w:r>
      <w:r w:rsidRPr="00EF4E07">
        <w:rPr>
          <w:i/>
        </w:rPr>
        <w:t>See, e.g., Toll Free Service Access Codes</w:t>
      </w:r>
      <w:r>
        <w:t xml:space="preserve">, </w:t>
      </w:r>
      <w:r w:rsidRPr="00EF4E07">
        <w:rPr>
          <w:i/>
        </w:rPr>
        <w:t>Petition to Change the Composition of SMS/800, Inc</w:t>
      </w:r>
      <w:r>
        <w:t>., CC Docket No. 95-155, WC Docket No. 12-260, Order, 28 FCC Rcd 15328 (2013); Enforcement Bureau staff also work on toll free issues.</w:t>
      </w:r>
    </w:p>
  </w:footnote>
  <w:footnote w:id="88">
    <w:p w:rsidR="00DD2A3A" w:rsidRDefault="00DD2A3A">
      <w:pPr>
        <w:pStyle w:val="FootnoteText"/>
      </w:pPr>
      <w:r>
        <w:rPr>
          <w:rStyle w:val="FootnoteReference"/>
        </w:rPr>
        <w:footnoteRef/>
      </w:r>
      <w:r>
        <w:t xml:space="preserve"> </w:t>
      </w:r>
      <w:r w:rsidRPr="00C74227">
        <w:rPr>
          <w:i/>
        </w:rPr>
        <w:t>See FY 2014 NPRM</w:t>
      </w:r>
      <w:r>
        <w:t>, 29 FCC Rcd at 6434-35, para. 51 (estimating based on assessment of one cent per month per managed toll free number by a RespOrg).</w:t>
      </w:r>
    </w:p>
  </w:footnote>
  <w:footnote w:id="89">
    <w:p w:rsidR="00DD2A3A" w:rsidRDefault="00DD2A3A" w:rsidP="00F65E57">
      <w:pPr>
        <w:pStyle w:val="FootnoteText"/>
      </w:pPr>
      <w:r>
        <w:rPr>
          <w:rStyle w:val="FootnoteReference"/>
        </w:rPr>
        <w:footnoteRef/>
      </w:r>
      <w:r>
        <w:t xml:space="preserve"> In the </w:t>
      </w:r>
      <w:r w:rsidRPr="00E96527">
        <w:rPr>
          <w:i/>
        </w:rPr>
        <w:t xml:space="preserve">FY 2014 </w:t>
      </w:r>
      <w:r>
        <w:rPr>
          <w:i/>
        </w:rPr>
        <w:t>NPRM</w:t>
      </w:r>
      <w:r>
        <w:t xml:space="preserve"> we asked commenters whether we should assess regulatory fees on working</w:t>
      </w:r>
      <w:r w:rsidRPr="00810C0D">
        <w:t>, assigned</w:t>
      </w:r>
      <w:r>
        <w:t>,</w:t>
      </w:r>
      <w:r w:rsidRPr="00810C0D">
        <w:t xml:space="preserve"> and reserved </w:t>
      </w:r>
      <w:r>
        <w:t xml:space="preserve">toll free numbers and if we should assess regulatory fees for toll free numbers that are in the “transit” status, </w:t>
      </w:r>
      <w:r w:rsidRPr="00810C0D">
        <w:t>or any other status</w:t>
      </w:r>
      <w:r>
        <w:t xml:space="preserve"> as defined in section 52.103 of the Commission’s rules.</w:t>
      </w:r>
      <w:r w:rsidRPr="00E96527">
        <w:rPr>
          <w:i/>
        </w:rPr>
        <w:t xml:space="preserve"> </w:t>
      </w:r>
      <w:r>
        <w:rPr>
          <w:i/>
        </w:rPr>
        <w:t xml:space="preserve"> </w:t>
      </w:r>
      <w:r w:rsidRPr="00AC5A11">
        <w:rPr>
          <w:i/>
        </w:rPr>
        <w:t>FY 201</w:t>
      </w:r>
      <w:r>
        <w:rPr>
          <w:i/>
        </w:rPr>
        <w:t>4 NPRM</w:t>
      </w:r>
      <w:r>
        <w:t>, 29 FCC Rcd at 6434-35, para. 51.  We are including toll free numbers in any such status in this category.</w:t>
      </w:r>
    </w:p>
  </w:footnote>
  <w:footnote w:id="90">
    <w:p w:rsidR="00DD2A3A" w:rsidRDefault="00DD2A3A" w:rsidP="00F65E57">
      <w:pPr>
        <w:pStyle w:val="FootnoteText"/>
      </w:pPr>
      <w:r>
        <w:rPr>
          <w:rStyle w:val="FootnoteReference"/>
        </w:rPr>
        <w:footnoteRef/>
      </w:r>
      <w:r>
        <w:t xml:space="preserve"> </w:t>
      </w:r>
      <w:r w:rsidRPr="003B6968">
        <w:rPr>
          <w:i/>
        </w:rPr>
        <w:t>See, e.g</w:t>
      </w:r>
      <w:r>
        <w:t xml:space="preserve">., Bell Canada Comments at 2. Other commenters support this new category.  </w:t>
      </w:r>
      <w:r w:rsidRPr="009A618E">
        <w:rPr>
          <w:i/>
        </w:rPr>
        <w:t>See, e.g</w:t>
      </w:r>
      <w:r>
        <w:t xml:space="preserve">., ITTA Comments at 13.  One commenter, however, contends that it would be confusing to impose regulatory fees on a RespOrg that is not a carrier.  </w:t>
      </w:r>
      <w:r w:rsidRPr="00593A52">
        <w:rPr>
          <w:i/>
        </w:rPr>
        <w:t>See</w:t>
      </w:r>
      <w:r>
        <w:t xml:space="preserve"> Bandwidth.com Reply Comments at 2.  USTelecom argues that we need to clarify our proposal to impose regulatory fees on toll free numbers.  USTelecom Reply Comments at 5.</w:t>
      </w:r>
    </w:p>
  </w:footnote>
  <w:footnote w:id="91">
    <w:p w:rsidR="00DD2A3A" w:rsidRDefault="00DD2A3A" w:rsidP="00634F93">
      <w:pPr>
        <w:pStyle w:val="FootnoteText"/>
      </w:pPr>
      <w:r>
        <w:rPr>
          <w:rStyle w:val="FootnoteReference"/>
        </w:rPr>
        <w:footnoteRef/>
      </w:r>
      <w:r>
        <w:t xml:space="preserve"> </w:t>
      </w:r>
      <w:r w:rsidRPr="00EA1FD0">
        <w:rPr>
          <w:i/>
        </w:rPr>
        <w:t>See</w:t>
      </w:r>
      <w:r>
        <w:t xml:space="preserve"> Bandwidth Reply Comments at 2.</w:t>
      </w:r>
    </w:p>
  </w:footnote>
  <w:footnote w:id="92">
    <w:p w:rsidR="00DD2A3A" w:rsidRDefault="00DD2A3A" w:rsidP="00634F93">
      <w:pPr>
        <w:pStyle w:val="FootnoteText"/>
      </w:pPr>
      <w:r>
        <w:rPr>
          <w:rStyle w:val="FootnoteReference"/>
        </w:rPr>
        <w:footnoteRef/>
      </w:r>
      <w:r>
        <w:t xml:space="preserve"> </w:t>
      </w:r>
      <w:r w:rsidRPr="00BB65F4">
        <w:rPr>
          <w:i/>
        </w:rPr>
        <w:t>See FY 2014</w:t>
      </w:r>
      <w:r>
        <w:t xml:space="preserve"> </w:t>
      </w:r>
      <w:r w:rsidRPr="00BB65F4">
        <w:rPr>
          <w:i/>
        </w:rPr>
        <w:t>NPRM</w:t>
      </w:r>
      <w:r>
        <w:t>, 29 FCC Rcd at 6421, para. 9.</w:t>
      </w:r>
    </w:p>
  </w:footnote>
  <w:footnote w:id="93">
    <w:p w:rsidR="00DD2A3A" w:rsidRPr="00A1103B" w:rsidRDefault="00DD2A3A" w:rsidP="0017182A">
      <w:pPr>
        <w:pStyle w:val="FootnoteText"/>
      </w:pPr>
      <w:r w:rsidRPr="00A1103B">
        <w:rPr>
          <w:rStyle w:val="FootnoteReference"/>
        </w:rPr>
        <w:footnoteRef/>
      </w:r>
      <w:r w:rsidRPr="00A1103B">
        <w:t xml:space="preserve"> 47 U.S.C. § 159(b)(3).</w:t>
      </w:r>
    </w:p>
  </w:footnote>
  <w:footnote w:id="94">
    <w:p w:rsidR="00DD2A3A" w:rsidRDefault="00DD2A3A">
      <w:pPr>
        <w:pStyle w:val="FootnoteText"/>
      </w:pPr>
      <w:r>
        <w:rPr>
          <w:rStyle w:val="FootnoteReference"/>
        </w:rPr>
        <w:footnoteRef/>
      </w:r>
      <w:r>
        <w:t xml:space="preserve"> </w:t>
      </w:r>
      <w:r w:rsidRPr="00AC5A11">
        <w:rPr>
          <w:i/>
        </w:rPr>
        <w:t>FY 201</w:t>
      </w:r>
      <w:r>
        <w:rPr>
          <w:i/>
        </w:rPr>
        <w:t>4 NPRM</w:t>
      </w:r>
      <w:r>
        <w:t>, 29 FCC Rcd at 6429-6430, para. 35.</w:t>
      </w:r>
    </w:p>
  </w:footnote>
  <w:footnote w:id="95">
    <w:p w:rsidR="00DD2A3A" w:rsidRDefault="00DD2A3A" w:rsidP="003D4EA3">
      <w:pPr>
        <w:pStyle w:val="FootnoteText"/>
      </w:pPr>
      <w:r>
        <w:rPr>
          <w:rStyle w:val="FootnoteReference"/>
        </w:rPr>
        <w:footnoteRef/>
      </w:r>
      <w:r>
        <w:t xml:space="preserve"> </w:t>
      </w:r>
      <w:r w:rsidRPr="00C16F6C">
        <w:rPr>
          <w:i/>
        </w:rPr>
        <w:t>Process Reform Report</w:t>
      </w:r>
      <w:r>
        <w:t>, 29 FCC Rcd 1338 (2014).</w:t>
      </w:r>
    </w:p>
  </w:footnote>
  <w:footnote w:id="96">
    <w:p w:rsidR="00DD2A3A" w:rsidRDefault="00DD2A3A" w:rsidP="004B4F92">
      <w:pPr>
        <w:pStyle w:val="FootnoteText"/>
      </w:pPr>
      <w:r>
        <w:rPr>
          <w:rStyle w:val="FootnoteReference"/>
        </w:rPr>
        <w:footnoteRef/>
      </w:r>
      <w:r>
        <w:t xml:space="preserve"> </w:t>
      </w:r>
      <w:r w:rsidRPr="009D36F0">
        <w:t>These are in our electronic comment filing system (ECFS), under proceeding “86-285</w:t>
      </w:r>
      <w:r>
        <w:t>.”</w:t>
      </w:r>
    </w:p>
  </w:footnote>
  <w:footnote w:id="97">
    <w:p w:rsidR="00DD2A3A" w:rsidRDefault="00DD2A3A" w:rsidP="0034153B">
      <w:pPr>
        <w:pStyle w:val="FootnoteText"/>
      </w:pPr>
      <w:r>
        <w:rPr>
          <w:rStyle w:val="FootnoteReference"/>
        </w:rPr>
        <w:footnoteRef/>
      </w:r>
      <w:r>
        <w:t xml:space="preserve"> </w:t>
      </w:r>
      <w:r w:rsidRPr="00D24A35">
        <w:rPr>
          <w:i/>
        </w:rPr>
        <w:t>FY 2013 Report and Order</w:t>
      </w:r>
      <w:r>
        <w:t>, 28 FCC Rcd at 12354-58, paras. 10-20.</w:t>
      </w:r>
    </w:p>
  </w:footnote>
  <w:footnote w:id="98">
    <w:p w:rsidR="00DD2A3A" w:rsidRDefault="00DD2A3A" w:rsidP="0034153B">
      <w:pPr>
        <w:pStyle w:val="FootnoteText"/>
      </w:pPr>
      <w:r>
        <w:rPr>
          <w:rStyle w:val="FootnoteReference"/>
        </w:rPr>
        <w:footnoteRef/>
      </w:r>
      <w:r>
        <w:t xml:space="preserve"> We note that even with that FTE reallocation, a significant number of International Bureau FTEs work on matters involving non-U.S.-licensed space stations serving the United States.  We are also considering reallocating those FTEs as indirect but do not adopt such a rule here because we would like to develop the record further before making a decision.</w:t>
      </w:r>
    </w:p>
  </w:footnote>
  <w:footnote w:id="99">
    <w:p w:rsidR="00DD2A3A" w:rsidRDefault="00DD2A3A" w:rsidP="0034153B">
      <w:pPr>
        <w:pStyle w:val="FootnoteText"/>
      </w:pPr>
      <w:r>
        <w:rPr>
          <w:rStyle w:val="FootnoteReference"/>
        </w:rPr>
        <w:footnoteRef/>
      </w:r>
      <w:r>
        <w:t xml:space="preserve"> </w:t>
      </w:r>
      <w:r w:rsidRPr="00564D12">
        <w:rPr>
          <w:i/>
        </w:rPr>
        <w:t xml:space="preserve">FY 2013 </w:t>
      </w:r>
      <w:r>
        <w:rPr>
          <w:i/>
        </w:rPr>
        <w:t>NPRM</w:t>
      </w:r>
      <w:r>
        <w:t>, 28 FCC Rcd at 7799, para. 18</w:t>
      </w:r>
      <w:r>
        <w:rPr>
          <w:i/>
        </w:rPr>
        <w:t>.</w:t>
      </w:r>
    </w:p>
  </w:footnote>
  <w:footnote w:id="100">
    <w:p w:rsidR="00DD2A3A" w:rsidRDefault="00DD2A3A" w:rsidP="0034153B">
      <w:pPr>
        <w:pStyle w:val="FootnoteText"/>
      </w:pPr>
      <w:r>
        <w:rPr>
          <w:rStyle w:val="FootnoteReference"/>
        </w:rPr>
        <w:footnoteRef/>
      </w:r>
      <w:r>
        <w:t xml:space="preserve"> </w:t>
      </w:r>
      <w:r w:rsidRPr="00C400AE">
        <w:rPr>
          <w:i/>
        </w:rPr>
        <w:t xml:space="preserve">See </w:t>
      </w:r>
      <w:r>
        <w:t>“Local Telephone Competition:  Status as of June 30, 2013,” Industry Analysis and Technology Division, Wireline Competition Bureau, June 2014 (Local Telephone Competition Report) at 2, Figure 1.</w:t>
      </w:r>
    </w:p>
  </w:footnote>
  <w:footnote w:id="101">
    <w:p w:rsidR="00DD2A3A" w:rsidRDefault="00DD2A3A" w:rsidP="0034153B">
      <w:pPr>
        <w:pStyle w:val="FootnoteText"/>
      </w:pPr>
      <w:r>
        <w:rPr>
          <w:rStyle w:val="FootnoteReference"/>
        </w:rPr>
        <w:footnoteRef/>
      </w:r>
      <w:r>
        <w:t xml:space="preserve"> Local Telephone Competition Report at 2, Figure 1.</w:t>
      </w:r>
      <w:r w:rsidRPr="000A686E">
        <w:t xml:space="preserve"> </w:t>
      </w:r>
      <w:r>
        <w:t xml:space="preserve"> A decrease in total wireline access lines could eventually result in a higher rate for the ITSP category if the same number of FTEs are assigned to this category.</w:t>
      </w:r>
    </w:p>
  </w:footnote>
  <w:footnote w:id="102">
    <w:p w:rsidR="00DD2A3A" w:rsidRDefault="00DD2A3A" w:rsidP="001A3589">
      <w:pPr>
        <w:pStyle w:val="FootnoteText"/>
      </w:pPr>
      <w:r>
        <w:rPr>
          <w:rStyle w:val="FootnoteReference"/>
        </w:rPr>
        <w:footnoteRef/>
      </w:r>
      <w:r>
        <w:t xml:space="preserve"> </w:t>
      </w:r>
      <w:r w:rsidRPr="00401198">
        <w:rPr>
          <w:i/>
        </w:rPr>
        <w:t>FY 2014 NPRM</w:t>
      </w:r>
      <w:r>
        <w:t>, 29 FCC Rcd at 6425-26, paras. 22-25.</w:t>
      </w:r>
    </w:p>
  </w:footnote>
  <w:footnote w:id="103">
    <w:p w:rsidR="00DD2A3A" w:rsidRDefault="00DD2A3A" w:rsidP="001A3589">
      <w:pPr>
        <w:pStyle w:val="FootnoteText"/>
      </w:pPr>
      <w:r>
        <w:rPr>
          <w:rStyle w:val="FootnoteReference"/>
        </w:rPr>
        <w:footnoteRef/>
      </w:r>
      <w:r>
        <w:t xml:space="preserve"> This proposal is supported by several commenters.  </w:t>
      </w:r>
      <w:r w:rsidRPr="00CD6602">
        <w:rPr>
          <w:i/>
        </w:rPr>
        <w:t>See, e.g</w:t>
      </w:r>
      <w:r>
        <w:t>., Echostar and DISH Comments at 3-4; NASCA Comments at 12-13; SIA Comments at 2-4.</w:t>
      </w:r>
    </w:p>
  </w:footnote>
  <w:footnote w:id="104">
    <w:p w:rsidR="00DD2A3A" w:rsidRDefault="00DD2A3A" w:rsidP="00864EBF">
      <w:pPr>
        <w:pStyle w:val="FootnoteText"/>
      </w:pPr>
      <w:r>
        <w:rPr>
          <w:rStyle w:val="FootnoteReference"/>
        </w:rPr>
        <w:footnoteRef/>
      </w:r>
      <w:r>
        <w:t xml:space="preserve"> </w:t>
      </w:r>
      <w:r w:rsidRPr="00B369C4">
        <w:rPr>
          <w:i/>
        </w:rPr>
        <w:t>See, e.g., Intelsat License, LLC</w:t>
      </w:r>
      <w:r>
        <w:t>, Notice of Apparent Liability for Forfeiture, 28 FCC Rcd 17183 (2013).</w:t>
      </w:r>
    </w:p>
  </w:footnote>
  <w:footnote w:id="105">
    <w:p w:rsidR="00DD2A3A" w:rsidRDefault="00DD2A3A" w:rsidP="001A3589">
      <w:pPr>
        <w:pStyle w:val="FootnoteText"/>
      </w:pPr>
      <w:r>
        <w:rPr>
          <w:rStyle w:val="FootnoteReference"/>
        </w:rPr>
        <w:footnoteRef/>
      </w:r>
      <w:r>
        <w:t xml:space="preserve"> Several commenters argue that we should not take this action at this time.  </w:t>
      </w:r>
      <w:r w:rsidRPr="00B800AB">
        <w:rPr>
          <w:i/>
        </w:rPr>
        <w:t>See, e.g</w:t>
      </w:r>
      <w:r>
        <w:t>., AT&amp;T Comments at 1-2; CTIA Comments at 10-12; NAB Comments at 3; USTelecom Reply Comments at 5.</w:t>
      </w:r>
    </w:p>
  </w:footnote>
  <w:footnote w:id="106">
    <w:p w:rsidR="00DD2A3A" w:rsidRDefault="00DD2A3A" w:rsidP="001A3589">
      <w:pPr>
        <w:pStyle w:val="FootnoteText"/>
      </w:pPr>
      <w:r>
        <w:rPr>
          <w:rStyle w:val="FootnoteReference"/>
        </w:rPr>
        <w:footnoteRef/>
      </w:r>
      <w:r>
        <w:t xml:space="preserve"> </w:t>
      </w:r>
      <w:r>
        <w:rPr>
          <w:i/>
        </w:rPr>
        <w:t>FY 2014 NPRM</w:t>
      </w:r>
      <w:r>
        <w:t>, 29 FCC Rcd at 6426-27, para. 26.</w:t>
      </w:r>
      <w:r w:rsidRPr="00CD6602">
        <w:t xml:space="preserve"> </w:t>
      </w:r>
      <w:r>
        <w:t xml:space="preserve">This proposal is supported by several commenters.  </w:t>
      </w:r>
      <w:r w:rsidRPr="00CD6602">
        <w:rPr>
          <w:i/>
        </w:rPr>
        <w:t>See, e.g</w:t>
      </w:r>
      <w:r>
        <w:t>., Echostar and DISH Comments at 4.</w:t>
      </w:r>
    </w:p>
  </w:footnote>
  <w:footnote w:id="107">
    <w:p w:rsidR="00DD2A3A" w:rsidRDefault="00DD2A3A" w:rsidP="001A3589">
      <w:pPr>
        <w:pStyle w:val="FootnoteText"/>
      </w:pPr>
      <w:r>
        <w:rPr>
          <w:rStyle w:val="FootnoteReference"/>
        </w:rPr>
        <w:footnoteRef/>
      </w:r>
      <w:r>
        <w:t xml:space="preserve"> NAB agrees that we should adopt a comprehensive holistic method for reallocation.  NAB Comments at 3-5.</w:t>
      </w:r>
    </w:p>
  </w:footnote>
  <w:footnote w:id="108">
    <w:p w:rsidR="00DD2A3A" w:rsidRDefault="00DD2A3A" w:rsidP="001A3589">
      <w:pPr>
        <w:pStyle w:val="FootnoteText"/>
      </w:pPr>
      <w:r>
        <w:rPr>
          <w:rStyle w:val="FootnoteReference"/>
        </w:rPr>
        <w:footnoteRef/>
      </w:r>
      <w:r>
        <w:t xml:space="preserve"> This issue is supported by some commenters, (</w:t>
      </w:r>
      <w:r w:rsidRPr="00E8189F">
        <w:rPr>
          <w:i/>
        </w:rPr>
        <w:t>s</w:t>
      </w:r>
      <w:r>
        <w:rPr>
          <w:i/>
        </w:rPr>
        <w:t xml:space="preserve">ee, </w:t>
      </w:r>
      <w:r w:rsidRPr="000D2555">
        <w:rPr>
          <w:i/>
        </w:rPr>
        <w:t>e.g</w:t>
      </w:r>
      <w:r>
        <w:t>., ACA Comments at 3-9; ITTA Comments at 11-12; NCTA Comments at 3-6; NCTA &amp; ACA Reply Comments at 3-11), and is opposed by the DBS and satellite industry, (</w:t>
      </w:r>
      <w:r w:rsidRPr="00E8189F">
        <w:rPr>
          <w:i/>
        </w:rPr>
        <w:t>see, e.g</w:t>
      </w:r>
      <w:r>
        <w:t>., DIRECTV and DISH Comments at 1-18; SIA Comments at 6-8).</w:t>
      </w:r>
    </w:p>
  </w:footnote>
  <w:footnote w:id="109">
    <w:p w:rsidR="00DD2A3A" w:rsidRDefault="00DD2A3A" w:rsidP="001A3589">
      <w:pPr>
        <w:pStyle w:val="FootnoteText"/>
      </w:pPr>
      <w:r>
        <w:rPr>
          <w:rStyle w:val="FootnoteReference"/>
        </w:rPr>
        <w:footnoteRef/>
      </w:r>
      <w:r>
        <w:t xml:space="preserve"> This issue, proposed by Intelsat, (</w:t>
      </w:r>
      <w:r w:rsidRPr="000128EE">
        <w:rPr>
          <w:i/>
        </w:rPr>
        <w:t>see</w:t>
      </w:r>
      <w:r>
        <w:t xml:space="preserve"> Intelsat Comments at 3-8 and Intelsat Reply Comments at 1-8) is opposed by the rest of the satellite industry.  </w:t>
      </w:r>
      <w:r w:rsidRPr="009D0356">
        <w:rPr>
          <w:i/>
        </w:rPr>
        <w:t>See, e.g.</w:t>
      </w:r>
      <w:r>
        <w:t>, EchoStar and DISH Comments at 6-9; Satellite Parties Comments at 3-8; Satellite Parties Reply Comments at 1-7.</w:t>
      </w:r>
    </w:p>
  </w:footnote>
  <w:footnote w:id="110">
    <w:p w:rsidR="00DD2A3A" w:rsidRDefault="00DD2A3A" w:rsidP="001A3589">
      <w:pPr>
        <w:pStyle w:val="FootnoteText"/>
      </w:pPr>
      <w:r>
        <w:rPr>
          <w:rStyle w:val="FootnoteReference"/>
        </w:rPr>
        <w:footnoteRef/>
      </w:r>
      <w:r>
        <w:t xml:space="preserve"> The ITTA proposal, discussed in ITTA Comments at 5-11, is generally opposed by commenters, </w:t>
      </w:r>
      <w:r w:rsidRPr="00E2702E">
        <w:rPr>
          <w:i/>
        </w:rPr>
        <w:t>s</w:t>
      </w:r>
      <w:r w:rsidRPr="0066604F">
        <w:rPr>
          <w:i/>
        </w:rPr>
        <w:t>ee, e.g</w:t>
      </w:r>
      <w:r>
        <w:t xml:space="preserve">., AT&amp;T Comments at 4-5 (observing that “although both wireline and wireless services involve voice telecommunications services, they remain strikingly different services.”); CTIA Comments at 3-9; </w:t>
      </w:r>
    </w:p>
  </w:footnote>
  <w:footnote w:id="111">
    <w:p w:rsidR="00DD2A3A" w:rsidRDefault="00DD2A3A">
      <w:pPr>
        <w:pStyle w:val="FootnoteText"/>
      </w:pPr>
      <w:r>
        <w:rPr>
          <w:rStyle w:val="FootnoteReference"/>
        </w:rPr>
        <w:footnoteRef/>
      </w:r>
      <w:r>
        <w:t xml:space="preserve"> These issues are discussed in greater detail in the </w:t>
      </w:r>
      <w:r w:rsidRPr="00676EF9">
        <w:rPr>
          <w:i/>
        </w:rPr>
        <w:t>FY 2013 NPRM</w:t>
      </w:r>
      <w:r>
        <w:t>, 28 FCC Rcd at 7809-7810, paras. 47-49.</w:t>
      </w:r>
    </w:p>
  </w:footnote>
  <w:footnote w:id="112">
    <w:p w:rsidR="00DD2A3A" w:rsidRDefault="00DD2A3A">
      <w:pPr>
        <w:pStyle w:val="FootnoteText"/>
      </w:pPr>
      <w:r>
        <w:rPr>
          <w:rStyle w:val="FootnoteReference"/>
        </w:rPr>
        <w:footnoteRef/>
      </w:r>
      <w:r>
        <w:t xml:space="preserve"> In the attached Further Notice of Proposed Rulemaking we seek comment on the issue of a per subscriber regulatory fee for DBS.</w:t>
      </w:r>
    </w:p>
  </w:footnote>
  <w:footnote w:id="113">
    <w:p w:rsidR="00DD2A3A" w:rsidRDefault="00DD2A3A">
      <w:pPr>
        <w:pStyle w:val="FootnoteText"/>
      </w:pPr>
      <w:r>
        <w:rPr>
          <w:rStyle w:val="FootnoteReference"/>
        </w:rPr>
        <w:footnoteRef/>
      </w:r>
      <w:r>
        <w:t xml:space="preserve"> AT&amp;T Comments at 3-4.  EchoStar and DISH suggested using the rate of inflation instead of 7.5 percent.  EchoStar and DISH Comments at 6.</w:t>
      </w:r>
    </w:p>
  </w:footnote>
  <w:footnote w:id="114">
    <w:p w:rsidR="00DD2A3A" w:rsidRDefault="00DD2A3A" w:rsidP="006C6F07">
      <w:pPr>
        <w:pStyle w:val="FootnoteText"/>
      </w:pPr>
      <w:r>
        <w:rPr>
          <w:rStyle w:val="FootnoteReference"/>
        </w:rPr>
        <w:footnoteRef/>
      </w:r>
      <w:r>
        <w:t xml:space="preserve"> AT&amp;T Comments at 5; US Telecom Reply Comments at 5; Bandwidth Reply Comments at 1. </w:t>
      </w:r>
    </w:p>
  </w:footnote>
  <w:footnote w:id="115">
    <w:p w:rsidR="00DD2A3A" w:rsidRDefault="00DD2A3A" w:rsidP="00896534">
      <w:pPr>
        <w:pStyle w:val="FootnoteText"/>
      </w:pPr>
      <w:r>
        <w:rPr>
          <w:rStyle w:val="FootnoteReference"/>
        </w:rPr>
        <w:footnoteRef/>
      </w:r>
      <w:r>
        <w:t xml:space="preserve"> 47 U.S.C. </w:t>
      </w:r>
      <w:r w:rsidRPr="00A1103B">
        <w:t>§</w:t>
      </w:r>
      <w:r>
        <w:t xml:space="preserve"> 159(c</w:t>
      </w:r>
      <w:r w:rsidRPr="00A1103B">
        <w:t>)(3).</w:t>
      </w:r>
      <w:r>
        <w:t xml:space="preserve">  We also note that under section 9(c)(1) we have authority to issue penalties for late payment.</w:t>
      </w:r>
    </w:p>
  </w:footnote>
  <w:footnote w:id="116">
    <w:p w:rsidR="00DD2A3A" w:rsidRDefault="00DD2A3A" w:rsidP="00284D8C">
      <w:pPr>
        <w:pStyle w:val="FootnoteText"/>
      </w:pPr>
      <w:r>
        <w:rPr>
          <w:rStyle w:val="FootnoteReference"/>
        </w:rPr>
        <w:footnoteRef/>
      </w:r>
      <w:r>
        <w:t xml:space="preserve"> Currently the SMS/800, Inc. tariff has a process in place to suspend or discontinue service to a RespOrg for nonpayment of SMS/800 fees.  </w:t>
      </w:r>
      <w:r w:rsidRPr="0050310C">
        <w:rPr>
          <w:i/>
        </w:rPr>
        <w:t>See</w:t>
      </w:r>
      <w:r>
        <w:t xml:space="preserve"> 800 Service Management System (SMS) Functions Tariff, FCC Tariff No. 1 at Section 2.1.8, </w:t>
      </w:r>
      <w:r w:rsidRPr="0050310C">
        <w:rPr>
          <w:i/>
        </w:rPr>
        <w:t>available at</w:t>
      </w:r>
      <w:r>
        <w:t xml:space="preserve"> </w:t>
      </w:r>
      <w:r w:rsidRPr="00230681">
        <w:t>http://www.sms800.com/Controls/NAC/Tariff.aspx#</w:t>
      </w:r>
      <w:r>
        <w:t>.</w:t>
      </w:r>
    </w:p>
  </w:footnote>
  <w:footnote w:id="117">
    <w:p w:rsidR="00DD2A3A" w:rsidRDefault="00DD2A3A" w:rsidP="0086691C">
      <w:pPr>
        <w:pStyle w:val="FootnoteText"/>
      </w:pPr>
      <w:r>
        <w:rPr>
          <w:rStyle w:val="FootnoteReference"/>
        </w:rPr>
        <w:footnoteRef/>
      </w:r>
      <w:r>
        <w:t xml:space="preserve"> 47 U.S.C. § </w:t>
      </w:r>
      <w:r w:rsidRPr="00A438CD">
        <w:t>522(13)</w:t>
      </w:r>
      <w:r>
        <w:t>.</w:t>
      </w:r>
    </w:p>
  </w:footnote>
  <w:footnote w:id="118">
    <w:p w:rsidR="00DD2A3A" w:rsidRDefault="00DD2A3A" w:rsidP="0086691C">
      <w:pPr>
        <w:pStyle w:val="FootnoteText"/>
      </w:pPr>
      <w:r>
        <w:rPr>
          <w:rStyle w:val="FootnoteReference"/>
        </w:rPr>
        <w:footnoteRef/>
      </w:r>
      <w:r>
        <w:t xml:space="preserve"> </w:t>
      </w:r>
      <w:r w:rsidRPr="00513810">
        <w:rPr>
          <w:i/>
        </w:rPr>
        <w:t>FY 2014 NPRM</w:t>
      </w:r>
      <w:r>
        <w:t>, 29 FCC Rcd at 6432, para. 43.  We had sought comment on this issue in previous NPRMs.</w:t>
      </w:r>
      <w:r w:rsidRPr="00540AA8">
        <w:rPr>
          <w:i/>
          <w:iCs/>
        </w:rPr>
        <w:t xml:space="preserve"> </w:t>
      </w:r>
      <w:r>
        <w:rPr>
          <w:i/>
          <w:iCs/>
        </w:rPr>
        <w:t xml:space="preserve"> </w:t>
      </w:r>
      <w:r w:rsidRPr="00C5729C">
        <w:rPr>
          <w:i/>
          <w:iCs/>
        </w:rPr>
        <w:t>See, e.g., FY 2013 NPRM</w:t>
      </w:r>
      <w:r w:rsidRPr="00C5729C">
        <w:t xml:space="preserve">, 28 FCC Rcd at 7810-11, paras. 50-52; </w:t>
      </w:r>
      <w:r w:rsidRPr="00C5729C">
        <w:rPr>
          <w:i/>
          <w:iCs/>
        </w:rPr>
        <w:t>FY 2008 FNPRM</w:t>
      </w:r>
      <w:r w:rsidRPr="00C5729C">
        <w:t>, 24 FCC Rcd at 6407, para. 50</w:t>
      </w:r>
      <w:r>
        <w:t>.</w:t>
      </w:r>
    </w:p>
  </w:footnote>
  <w:footnote w:id="119">
    <w:p w:rsidR="00DD2A3A" w:rsidRDefault="00DD2A3A">
      <w:pPr>
        <w:pStyle w:val="FootnoteText"/>
      </w:pPr>
      <w:r>
        <w:rPr>
          <w:rStyle w:val="FootnoteReference"/>
        </w:rPr>
        <w:footnoteRef/>
      </w:r>
      <w:r>
        <w:t xml:space="preserve"> </w:t>
      </w:r>
      <w:r w:rsidRPr="00203E39">
        <w:rPr>
          <w:i/>
        </w:rPr>
        <w:t>FY 2014 NPRM</w:t>
      </w:r>
      <w:r>
        <w:t>, 29 FCC Rcd at 6432, Table 4.</w:t>
      </w:r>
    </w:p>
  </w:footnote>
  <w:footnote w:id="120">
    <w:p w:rsidR="00DD2A3A" w:rsidRDefault="00DD2A3A" w:rsidP="0086691C">
      <w:pPr>
        <w:pStyle w:val="FootnoteText"/>
      </w:pPr>
      <w:r>
        <w:rPr>
          <w:rStyle w:val="FootnoteReference"/>
        </w:rPr>
        <w:footnoteRef/>
      </w:r>
      <w:r>
        <w:t xml:space="preserve"> </w:t>
      </w:r>
      <w:r w:rsidRPr="00513810">
        <w:rPr>
          <w:i/>
        </w:rPr>
        <w:t>S</w:t>
      </w:r>
      <w:r>
        <w:rPr>
          <w:i/>
        </w:rPr>
        <w:t xml:space="preserve">ee, </w:t>
      </w:r>
      <w:r w:rsidRPr="000D2555">
        <w:rPr>
          <w:i/>
        </w:rPr>
        <w:t>e.g</w:t>
      </w:r>
      <w:r>
        <w:t>., ACA Comments at 3-9; ITTA Comments at 11-12; NCTA Comments at 3-6; NCTA &amp; ACA Reply Comments at 3-11 (“basic principles of fairness and technological neutrality require the Commission to assess [DBS] service providers regulatory fees as part of a  . . . fee category that also includes cable operators and IPTV services.”).</w:t>
      </w:r>
    </w:p>
  </w:footnote>
  <w:footnote w:id="121">
    <w:p w:rsidR="00DD2A3A" w:rsidRDefault="00DD2A3A" w:rsidP="0086691C">
      <w:pPr>
        <w:pStyle w:val="FootnoteText"/>
      </w:pPr>
      <w:r>
        <w:rPr>
          <w:rStyle w:val="FootnoteReference"/>
        </w:rPr>
        <w:footnoteRef/>
      </w:r>
      <w:r>
        <w:t xml:space="preserve"> </w:t>
      </w:r>
      <w:r w:rsidRPr="00513810">
        <w:rPr>
          <w:i/>
        </w:rPr>
        <w:t>See</w:t>
      </w:r>
      <w:r>
        <w:t xml:space="preserve"> </w:t>
      </w:r>
      <w:r w:rsidRPr="00752BBA">
        <w:rPr>
          <w:i/>
        </w:rPr>
        <w:t>FY 2014 NPRM</w:t>
      </w:r>
      <w:r>
        <w:t>, 29 FCC Rcd at 6432, para. 42.</w:t>
      </w:r>
    </w:p>
  </w:footnote>
  <w:footnote w:id="122">
    <w:p w:rsidR="00DD2A3A" w:rsidRPr="00A1103B" w:rsidRDefault="00DD2A3A" w:rsidP="0086691C">
      <w:pPr>
        <w:pStyle w:val="FootnoteText"/>
      </w:pPr>
      <w:r w:rsidRPr="00A1103B">
        <w:rPr>
          <w:rStyle w:val="FootnoteReference"/>
        </w:rPr>
        <w:footnoteRef/>
      </w:r>
      <w:r w:rsidRPr="00A1103B">
        <w:t xml:space="preserve"> 47 U.S.C. § 548; 47 C.F.R. § 76.1000-1004.</w:t>
      </w:r>
    </w:p>
  </w:footnote>
  <w:footnote w:id="123">
    <w:p w:rsidR="00DD2A3A" w:rsidRPr="00A1103B" w:rsidRDefault="00DD2A3A" w:rsidP="0086691C">
      <w:pPr>
        <w:pStyle w:val="FootnoteText"/>
      </w:pPr>
      <w:r w:rsidRPr="00A1103B">
        <w:rPr>
          <w:rStyle w:val="FootnoteReference"/>
        </w:rPr>
        <w:footnoteRef/>
      </w:r>
      <w:r w:rsidRPr="00A1103B">
        <w:t xml:space="preserve"> 47 U.S.C. §§</w:t>
      </w:r>
      <w:r>
        <w:t xml:space="preserve"> </w:t>
      </w:r>
      <w:r w:rsidRPr="00A1103B">
        <w:t>325(b)(1), (3)(C)(ii); 47 C.F.R. § 76.65(b).</w:t>
      </w:r>
    </w:p>
  </w:footnote>
  <w:footnote w:id="124">
    <w:p w:rsidR="00DD2A3A" w:rsidRPr="00A1103B" w:rsidRDefault="00DD2A3A" w:rsidP="0086691C">
      <w:pPr>
        <w:pStyle w:val="FootnoteText"/>
      </w:pPr>
      <w:r w:rsidRPr="00A1103B">
        <w:rPr>
          <w:rStyle w:val="FootnoteReference"/>
        </w:rPr>
        <w:footnoteRef/>
      </w:r>
      <w:r w:rsidRPr="00A1103B">
        <w:t xml:space="preserve"> </w:t>
      </w:r>
      <w:r w:rsidRPr="00A1103B">
        <w:rPr>
          <w:i/>
        </w:rPr>
        <w:t>See Implementation of the Commercial Advertisement, Loudness Mitigation (CALM) Act</w:t>
      </w:r>
      <w:r w:rsidRPr="00A1103B">
        <w:t>, Report and Order, 26 FCC Rcd 17222 (2011).</w:t>
      </w:r>
    </w:p>
  </w:footnote>
  <w:footnote w:id="125">
    <w:p w:rsidR="00DD2A3A" w:rsidRPr="00A1103B" w:rsidRDefault="00DD2A3A" w:rsidP="0086691C">
      <w:pPr>
        <w:pStyle w:val="FootnoteText"/>
      </w:pPr>
      <w:r w:rsidRPr="00A1103B">
        <w:rPr>
          <w:rStyle w:val="FootnoteReference"/>
        </w:rPr>
        <w:footnoteRef/>
      </w:r>
      <w:r w:rsidRPr="00A1103B">
        <w:t xml:space="preserve"> 47 U.S.C. § 618(b).</w:t>
      </w:r>
    </w:p>
  </w:footnote>
  <w:footnote w:id="126">
    <w:p w:rsidR="00DD2A3A" w:rsidRDefault="00DD2A3A" w:rsidP="0086691C">
      <w:pPr>
        <w:pStyle w:val="FootnoteText"/>
      </w:pPr>
      <w:r>
        <w:rPr>
          <w:rStyle w:val="FootnoteReference"/>
        </w:rPr>
        <w:footnoteRef/>
      </w:r>
      <w:r>
        <w:t xml:space="preserve"> 47 C.F.R. Part 79.</w:t>
      </w:r>
    </w:p>
  </w:footnote>
  <w:footnote w:id="127">
    <w:p w:rsidR="00DD2A3A" w:rsidRDefault="00DD2A3A" w:rsidP="0086691C">
      <w:pPr>
        <w:pStyle w:val="FootnoteText"/>
      </w:pPr>
      <w:r>
        <w:rPr>
          <w:rStyle w:val="FootnoteReference"/>
        </w:rPr>
        <w:footnoteRef/>
      </w:r>
      <w:r>
        <w:t xml:space="preserve"> ACA Comments at 6.</w:t>
      </w:r>
    </w:p>
  </w:footnote>
  <w:footnote w:id="128">
    <w:p w:rsidR="00DD2A3A" w:rsidRDefault="00DD2A3A" w:rsidP="0086691C">
      <w:pPr>
        <w:pStyle w:val="FootnoteText"/>
      </w:pPr>
      <w:r>
        <w:rPr>
          <w:rStyle w:val="FootnoteReference"/>
        </w:rPr>
        <w:footnoteRef/>
      </w:r>
      <w:r>
        <w:t xml:space="preserve"> </w:t>
      </w:r>
      <w:r w:rsidRPr="00FE30CA">
        <w:rPr>
          <w:i/>
        </w:rPr>
        <w:t>See</w:t>
      </w:r>
      <w:r>
        <w:rPr>
          <w:i/>
        </w:rPr>
        <w:t xml:space="preserve"> </w:t>
      </w:r>
      <w:r>
        <w:t>DIRECTV and DISH Comments at 13-18.</w:t>
      </w:r>
    </w:p>
  </w:footnote>
  <w:footnote w:id="129">
    <w:p w:rsidR="00DD2A3A" w:rsidRDefault="00DD2A3A" w:rsidP="0086691C">
      <w:pPr>
        <w:pStyle w:val="FootnoteText"/>
      </w:pPr>
      <w:r>
        <w:rPr>
          <w:rStyle w:val="FootnoteReference"/>
        </w:rPr>
        <w:footnoteRef/>
      </w:r>
      <w:r>
        <w:t xml:space="preserve"> </w:t>
      </w:r>
      <w:r w:rsidRPr="00513810">
        <w:rPr>
          <w:i/>
        </w:rPr>
        <w:t>See, e.g</w:t>
      </w:r>
      <w:r>
        <w:t>., DIRECTV and DISH Comments at 13-17; SIA Comments at 7.</w:t>
      </w:r>
    </w:p>
  </w:footnote>
  <w:footnote w:id="130">
    <w:p w:rsidR="00DD2A3A" w:rsidRDefault="00DD2A3A" w:rsidP="001A771B">
      <w:pPr>
        <w:pStyle w:val="FootnoteText"/>
      </w:pPr>
      <w:r>
        <w:rPr>
          <w:rStyle w:val="FootnoteReference"/>
        </w:rPr>
        <w:footnoteRef/>
      </w:r>
      <w:r>
        <w:t xml:space="preserve"> </w:t>
      </w:r>
      <w:r w:rsidRPr="00513810">
        <w:rPr>
          <w:i/>
        </w:rPr>
        <w:t>See, e.g</w:t>
      </w:r>
      <w:r>
        <w:t xml:space="preserve">., 47 C.F.R. §§ 76.65(b); </w:t>
      </w:r>
      <w:r w:rsidRPr="00A1103B">
        <w:t>76.1000-1004</w:t>
      </w:r>
      <w:r>
        <w:t xml:space="preserve">; Part 79; </w:t>
      </w:r>
      <w:r w:rsidRPr="00513810">
        <w:rPr>
          <w:i/>
        </w:rPr>
        <w:t xml:space="preserve">see </w:t>
      </w:r>
      <w:r>
        <w:rPr>
          <w:i/>
        </w:rPr>
        <w:t xml:space="preserve">also </w:t>
      </w:r>
      <w:r w:rsidRPr="00513810">
        <w:rPr>
          <w:i/>
        </w:rPr>
        <w:t>Implementation of Commercial Advertisement, Loudness Mitigation (CALM) Act</w:t>
      </w:r>
      <w:r>
        <w:t>, Report and Order, 26 FCC Rcd 17222 (2011); 47 U.S.C. § 618(b).</w:t>
      </w:r>
    </w:p>
  </w:footnote>
  <w:footnote w:id="131">
    <w:p w:rsidR="00DD2A3A" w:rsidRDefault="00DD2A3A">
      <w:pPr>
        <w:pStyle w:val="FootnoteText"/>
      </w:pPr>
      <w:r>
        <w:rPr>
          <w:rStyle w:val="FootnoteReference"/>
        </w:rPr>
        <w:footnoteRef/>
      </w:r>
      <w:r>
        <w:t xml:space="preserve"> </w:t>
      </w:r>
      <w:r w:rsidRPr="00143B92">
        <w:rPr>
          <w:i/>
        </w:rPr>
        <w:t>FY 2013 Report and Order</w:t>
      </w:r>
      <w:r>
        <w:t>, 28 FCC Rcd at 12362, para. 32.</w:t>
      </w:r>
    </w:p>
  </w:footnote>
  <w:footnote w:id="132">
    <w:p w:rsidR="00DD2A3A" w:rsidRDefault="00DD2A3A">
      <w:pPr>
        <w:pStyle w:val="FootnoteText"/>
      </w:pPr>
      <w:r>
        <w:rPr>
          <w:rStyle w:val="FootnoteReference"/>
        </w:rPr>
        <w:footnoteRef/>
      </w:r>
      <w:r>
        <w:t xml:space="preserve"> </w:t>
      </w:r>
      <w:r w:rsidRPr="003C1987">
        <w:rPr>
          <w:i/>
        </w:rPr>
        <w:t>Id.</w:t>
      </w:r>
      <w:r>
        <w:t>, 28 FCC Rcd at 12362, n.81.</w:t>
      </w:r>
    </w:p>
  </w:footnote>
  <w:footnote w:id="133">
    <w:p w:rsidR="00DD2A3A" w:rsidRDefault="00DD2A3A" w:rsidP="00A245B5">
      <w:pPr>
        <w:pStyle w:val="FootnoteText"/>
      </w:pPr>
      <w:r>
        <w:rPr>
          <w:rStyle w:val="FootnoteReference"/>
        </w:rPr>
        <w:footnoteRef/>
      </w:r>
      <w:r>
        <w:t xml:space="preserve"> 47 U.S.C. § 159(a)(1).</w:t>
      </w:r>
    </w:p>
  </w:footnote>
  <w:footnote w:id="134">
    <w:p w:rsidR="00DD2A3A" w:rsidRDefault="00DD2A3A" w:rsidP="0086691C">
      <w:pPr>
        <w:pStyle w:val="FootnoteText"/>
      </w:pPr>
      <w:r>
        <w:rPr>
          <w:rStyle w:val="FootnoteReference"/>
        </w:rPr>
        <w:footnoteRef/>
      </w:r>
      <w:r>
        <w:t xml:space="preserve"> </w:t>
      </w:r>
      <w:r w:rsidRPr="00676EF9">
        <w:rPr>
          <w:i/>
        </w:rPr>
        <w:t>See</w:t>
      </w:r>
      <w:r>
        <w:t xml:space="preserve"> Table 4 in the </w:t>
      </w:r>
      <w:r w:rsidRPr="00676EF9">
        <w:rPr>
          <w:i/>
        </w:rPr>
        <w:t>FY 2014 NPRM</w:t>
      </w:r>
      <w:r>
        <w:t>, 29 FCC Rcd at 6432.  If adopted, the regulatory fee rate will be proposed in the annual notice of proposed rulemaking seeking comment on regulatory fees for the upcoming fiscal year.</w:t>
      </w:r>
    </w:p>
  </w:footnote>
  <w:footnote w:id="135">
    <w:p w:rsidR="00DD2A3A" w:rsidRDefault="00DD2A3A" w:rsidP="00284D8C">
      <w:pPr>
        <w:pStyle w:val="FootnoteText"/>
      </w:pPr>
      <w:r>
        <w:rPr>
          <w:rStyle w:val="FootnoteReference"/>
        </w:rPr>
        <w:footnoteRef/>
      </w:r>
      <w:r>
        <w:t xml:space="preserve"> Office of Management and Budget (OMB) Memorandum M-10-06, Open Government Directive, Dec. 8, 2009; </w:t>
      </w:r>
      <w:r>
        <w:rPr>
          <w:i/>
          <w:iCs/>
        </w:rPr>
        <w:t>see also</w:t>
      </w:r>
      <w:r>
        <w:t xml:space="preserve"> </w:t>
      </w:r>
      <w:hyperlink r:id="rId2" w:history="1">
        <w:r>
          <w:rPr>
            <w:rStyle w:val="Hyperlink"/>
          </w:rPr>
          <w:t>http://www.whitehouse.gov/the-press-office/2011/06/13/executive-order-13576-delivering-efficient-effective-and-accountable-gov</w:t>
        </w:r>
      </w:hyperlink>
      <w:r>
        <w:t>.</w:t>
      </w:r>
    </w:p>
  </w:footnote>
  <w:footnote w:id="136">
    <w:p w:rsidR="00DD2A3A" w:rsidRDefault="00DD2A3A" w:rsidP="00284D8C">
      <w:pPr>
        <w:pStyle w:val="FootnoteText"/>
      </w:pPr>
      <w:r>
        <w:rPr>
          <w:rStyle w:val="FootnoteReference"/>
        </w:rPr>
        <w:footnoteRef/>
      </w:r>
      <w:r>
        <w:t xml:space="preserve"> </w:t>
      </w:r>
      <w:r>
        <w:rPr>
          <w:i/>
          <w:iCs/>
        </w:rPr>
        <w:t>See</w:t>
      </w:r>
      <w:r>
        <w:t xml:space="preserve"> U.S. Department of the Treasury, Open Government Plan 2.1, Sept. 2012.</w:t>
      </w:r>
    </w:p>
  </w:footnote>
  <w:footnote w:id="137">
    <w:p w:rsidR="00DD2A3A" w:rsidRDefault="00DD2A3A" w:rsidP="00284D8C">
      <w:pPr>
        <w:pStyle w:val="FootnoteText"/>
      </w:pPr>
      <w:r>
        <w:rPr>
          <w:rStyle w:val="FootnoteReference"/>
        </w:rPr>
        <w:footnoteRef/>
      </w:r>
      <w:r>
        <w:t xml:space="preserve"> Payors should note that this change will mean that to the extent certain entities have to date paid both regulatory fees and application fees at the same time via paper check, they will no longer be able to do so as the regulatory fees payment via paper check will no longer be accepted.</w:t>
      </w:r>
    </w:p>
  </w:footnote>
  <w:footnote w:id="138">
    <w:p w:rsidR="00DD2A3A" w:rsidRDefault="00DD2A3A">
      <w:pPr>
        <w:pStyle w:val="FootnoteText"/>
      </w:pPr>
      <w:r>
        <w:rPr>
          <w:rStyle w:val="FootnoteReference"/>
        </w:rPr>
        <w:footnoteRef/>
      </w:r>
      <w:r>
        <w:t xml:space="preserve"> </w:t>
      </w:r>
      <w:r>
        <w:rPr>
          <w:i/>
          <w:iCs/>
        </w:rPr>
        <w:t xml:space="preserve">See FY 2005 Report and Order, </w:t>
      </w:r>
      <w:r>
        <w:t>20 FCC Rcd at 12264, paras. 38-44.</w:t>
      </w:r>
    </w:p>
  </w:footnote>
  <w:footnote w:id="139">
    <w:p w:rsidR="00DD2A3A" w:rsidRDefault="00DD2A3A">
      <w:pPr>
        <w:pStyle w:val="FootnoteText"/>
      </w:pPr>
      <w:r>
        <w:rPr>
          <w:rStyle w:val="FootnoteReference"/>
        </w:rPr>
        <w:footnoteRef/>
      </w:r>
      <w:r>
        <w:t xml:space="preserve"> In the supporting documentation, the provider will need to state a reason for the change, such as a purchase or sale of a subsidiary, the date of the transaction, and any other pertinent information that will help to justify a reason for the change.</w:t>
      </w:r>
    </w:p>
  </w:footnote>
  <w:footnote w:id="140">
    <w:p w:rsidR="00DD2A3A" w:rsidRPr="00B60211" w:rsidRDefault="00DD2A3A" w:rsidP="00264877">
      <w:pPr>
        <w:pStyle w:val="FootnoteText"/>
        <w:spacing w:before="120" w:after="0"/>
      </w:pPr>
      <w:r w:rsidRPr="00B60211">
        <w:rPr>
          <w:rStyle w:val="FootnoteReference"/>
        </w:rPr>
        <w:footnoteRef/>
      </w:r>
      <w:r w:rsidRPr="00B60211">
        <w:t xml:space="preserve"> In accordance with U.S. Treasury Financial Manual Announcement No. A-2012-02, the U.S. Treasury will reject credit card transactions greater than $49,999.99 from a single credit card in a single day.  This includes online transactions conducted via Pay.gov, transactions conducted via other channels, and direct-over-the counter transactions made at a U.S. Government facility.  Individual credit card transactions larger than the $49,999.99 limit may not be split into multiple transactions using the same credit card, whether or not the split transactions are assigned to multiple days.  Splitting a transaction violates card network and Financial Management Service (FMS) rules.  However, credit card transactions exceeding the daily limit may be split between two or more </w:t>
      </w:r>
      <w:r w:rsidRPr="00B60211">
        <w:rPr>
          <w:u w:val="single"/>
        </w:rPr>
        <w:t xml:space="preserve">different </w:t>
      </w:r>
      <w:r w:rsidRPr="00B60211">
        <w:t>credit cards.  Other alternatives for transactions exceeding the $49,999.99 credit card limit include payment by electronic debit from your bank account, and wire transfer.</w:t>
      </w:r>
    </w:p>
  </w:footnote>
  <w:footnote w:id="141">
    <w:p w:rsidR="00DD2A3A" w:rsidRPr="00B60211" w:rsidRDefault="00DD2A3A" w:rsidP="00264877">
      <w:pPr>
        <w:pStyle w:val="FootnoteText"/>
        <w:spacing w:before="120" w:after="0"/>
      </w:pPr>
      <w:r w:rsidRPr="00B60211">
        <w:rPr>
          <w:rStyle w:val="FootnoteReference"/>
        </w:rPr>
        <w:footnoteRef/>
      </w:r>
      <w:r w:rsidRPr="00B60211">
        <w:t xml:space="preserve"> In accordance with U.S. Treasury Financial Manual Announcement No. A-2012-02, the maximum dollar-value limit for debit card transactions will be eliminated.  It should also be noted that only Visa and MasterCard branded debit cards are accepted by Pay.gov.</w:t>
      </w:r>
    </w:p>
  </w:footnote>
  <w:footnote w:id="142">
    <w:p w:rsidR="00DD2A3A" w:rsidRPr="00B60211" w:rsidRDefault="00DD2A3A" w:rsidP="00264877">
      <w:pPr>
        <w:pStyle w:val="FootnoteText"/>
        <w:spacing w:before="120" w:after="0"/>
      </w:pPr>
      <w:r w:rsidRPr="00B60211">
        <w:rPr>
          <w:rStyle w:val="FootnoteReference"/>
        </w:rPr>
        <w:footnoteRef/>
      </w:r>
      <w:r w:rsidRPr="00B60211">
        <w:t xml:space="preserve"> Audio bridging services are </w:t>
      </w:r>
      <w:r>
        <w:t>toll teleconferencing services</w:t>
      </w:r>
      <w:r w:rsidRPr="00B60211">
        <w:t xml:space="preserve">. </w:t>
      </w:r>
    </w:p>
  </w:footnote>
  <w:footnote w:id="143">
    <w:p w:rsidR="00DD2A3A" w:rsidRPr="00B60211" w:rsidRDefault="00DD2A3A" w:rsidP="00264877">
      <w:pPr>
        <w:pStyle w:val="FootnoteText"/>
        <w:spacing w:before="120" w:after="0"/>
      </w:pPr>
      <w:r w:rsidRPr="00B60211">
        <w:rPr>
          <w:rStyle w:val="FootnoteReference"/>
          <w:color w:val="000000"/>
        </w:rPr>
        <w:footnoteRef/>
      </w:r>
      <w:r w:rsidRPr="00B60211">
        <w:rPr>
          <w:color w:val="000000"/>
        </w:rPr>
        <w:t xml:space="preserve"> Cable television system operators should compute their number of basic subscribers as follows: Number of single family dwellings + number of individual households in multiple dwelling unit (apartments, condominiums, mobile home parks, </w:t>
      </w:r>
      <w:r w:rsidRPr="006F6C54">
        <w:rPr>
          <w:color w:val="000000"/>
        </w:rPr>
        <w:t>etc.</w:t>
      </w:r>
      <w:r w:rsidRPr="00B60211">
        <w:rPr>
          <w:color w:val="000000"/>
        </w:rPr>
        <w:t>) paying at the basic subscriber rate + bulk rate customers + courtesy and free service.  Note: Bulk-Rate Customers = Total annual bulk-rate charge divided by basic annual subscription rate for individual households.  Operators may base their count on “a typical day in the last full week” of December 201</w:t>
      </w:r>
      <w:r>
        <w:rPr>
          <w:color w:val="000000"/>
        </w:rPr>
        <w:t>3</w:t>
      </w:r>
      <w:r w:rsidRPr="00B60211">
        <w:rPr>
          <w:color w:val="000000"/>
        </w:rPr>
        <w:t>, rather than on a count as of December 31, 201</w:t>
      </w:r>
      <w:r>
        <w:rPr>
          <w:color w:val="000000"/>
        </w:rPr>
        <w:t>3</w:t>
      </w:r>
      <w:r w:rsidRPr="00B60211">
        <w:rPr>
          <w:color w:val="000000"/>
        </w:rPr>
        <w:t xml:space="preserve">. </w:t>
      </w:r>
    </w:p>
  </w:footnote>
  <w:footnote w:id="144">
    <w:p w:rsidR="00DD2A3A" w:rsidRPr="00B60211" w:rsidRDefault="00DD2A3A" w:rsidP="00264877">
      <w:pPr>
        <w:pStyle w:val="FootnoteText"/>
        <w:spacing w:before="120" w:after="0"/>
      </w:pPr>
      <w:r w:rsidRPr="00B60211">
        <w:rPr>
          <w:rStyle w:val="FootnoteReference"/>
        </w:rPr>
        <w:footnoteRef/>
      </w:r>
      <w:r w:rsidRPr="00B60211">
        <w:t xml:space="preserve"> 47 U.S.C. § 159(c).</w:t>
      </w:r>
    </w:p>
  </w:footnote>
  <w:footnote w:id="145">
    <w:p w:rsidR="00DD2A3A" w:rsidRPr="00B60211" w:rsidRDefault="00DD2A3A" w:rsidP="00264877">
      <w:pPr>
        <w:pStyle w:val="FootnoteText"/>
        <w:spacing w:before="120" w:after="0"/>
      </w:pPr>
      <w:r w:rsidRPr="00B60211">
        <w:rPr>
          <w:rStyle w:val="FootnoteReference"/>
        </w:rPr>
        <w:footnoteRef/>
      </w:r>
      <w:r w:rsidRPr="00B60211">
        <w:t xml:space="preserve"> </w:t>
      </w:r>
      <w:r w:rsidRPr="00B60211">
        <w:rPr>
          <w:i/>
        </w:rPr>
        <w:t>See</w:t>
      </w:r>
      <w:r w:rsidRPr="00B60211">
        <w:t xml:space="preserve"> 47 C.F.R. § 1.1910.</w:t>
      </w:r>
    </w:p>
  </w:footnote>
  <w:footnote w:id="146">
    <w:p w:rsidR="00DD2A3A" w:rsidRPr="00B60211" w:rsidRDefault="00DD2A3A" w:rsidP="00264877">
      <w:pPr>
        <w:pStyle w:val="FootnoteText"/>
        <w:spacing w:before="120" w:after="0"/>
      </w:pPr>
      <w:r w:rsidRPr="00B60211">
        <w:rPr>
          <w:rStyle w:val="FootnoteReference"/>
        </w:rPr>
        <w:footnoteRef/>
      </w:r>
      <w:r w:rsidRPr="00B60211">
        <w:t xml:space="preserve"> </w:t>
      </w:r>
      <w:r>
        <w:rPr>
          <w:snapToGrid w:val="0"/>
        </w:rPr>
        <w:t>Delinquent debt owed to the Commission triggers the “red light rule,</w:t>
      </w:r>
      <w:r w:rsidRPr="00177232">
        <w:rPr>
          <w:snapToGrid w:val="0"/>
        </w:rPr>
        <w:t xml:space="preserve">” </w:t>
      </w:r>
      <w:r w:rsidRPr="00177232">
        <w:rPr>
          <w:bCs/>
          <w:snapToGrid w:val="0"/>
        </w:rPr>
        <w:t>which places a hold on the processing of pending applications, fee offsets, and pending disbursement payments.</w:t>
      </w:r>
      <w:r>
        <w:rPr>
          <w:snapToGrid w:val="0"/>
        </w:rPr>
        <w:t xml:space="preserve">  47 C.F.R. §§ 1.1910, 1.1911, 1.1912.  </w:t>
      </w:r>
      <w:r w:rsidRPr="002463C3">
        <w:rPr>
          <w:snapToGrid w:val="0"/>
        </w:rPr>
        <w:t xml:space="preserve">In 2004, the Commission adopted rules implementing the requirements of the DCIA. </w:t>
      </w:r>
      <w:r w:rsidRPr="002463C3">
        <w:rPr>
          <w:i/>
          <w:iCs/>
          <w:snapToGrid w:val="0"/>
        </w:rPr>
        <w:t>See</w:t>
      </w:r>
      <w:r w:rsidRPr="002463C3">
        <w:rPr>
          <w:snapToGrid w:val="0"/>
        </w:rPr>
        <w:t xml:space="preserve"> </w:t>
      </w:r>
      <w:r w:rsidRPr="002463C3">
        <w:rPr>
          <w:i/>
          <w:iCs/>
          <w:snapToGrid w:val="0"/>
        </w:rPr>
        <w:t>Amendment</w:t>
      </w:r>
      <w:r>
        <w:rPr>
          <w:i/>
          <w:iCs/>
          <w:snapToGrid w:val="0"/>
        </w:rPr>
        <w:t xml:space="preserve"> of Parts 0 and 1 of the Commission’s Rules</w:t>
      </w:r>
      <w:r>
        <w:rPr>
          <w:snapToGrid w:val="0"/>
        </w:rPr>
        <w:t>, MD Docket No. 02-339, Report and Order, 19 FCC Rcd 6540 (2004); 47 C.F.R. Part 1, Subpart O, Collection of Claims Owed the United States.</w:t>
      </w:r>
    </w:p>
  </w:footnote>
  <w:footnote w:id="147">
    <w:p w:rsidR="00DD2A3A" w:rsidRPr="00B60211" w:rsidRDefault="00DD2A3A" w:rsidP="00264877">
      <w:pPr>
        <w:pStyle w:val="FootnoteText"/>
        <w:spacing w:before="120" w:after="0"/>
      </w:pPr>
      <w:r w:rsidRPr="00B60211">
        <w:rPr>
          <w:rStyle w:val="FootnoteReference"/>
        </w:rPr>
        <w:footnoteRef/>
      </w:r>
      <w:r w:rsidRPr="00B60211">
        <w:t xml:space="preserve"> 47 C.F.R. § 1.1940(d).</w:t>
      </w:r>
    </w:p>
  </w:footnote>
  <w:footnote w:id="148">
    <w:p w:rsidR="00DD2A3A" w:rsidRPr="00B60211" w:rsidRDefault="00DD2A3A" w:rsidP="00264877">
      <w:pPr>
        <w:pStyle w:val="FootnoteText"/>
        <w:spacing w:before="120" w:after="0"/>
      </w:pPr>
      <w:r w:rsidRPr="00B60211">
        <w:rPr>
          <w:rStyle w:val="FootnoteReference"/>
        </w:rPr>
        <w:footnoteRef/>
      </w:r>
      <w:r w:rsidRPr="00B60211">
        <w:t xml:space="preserve"> </w:t>
      </w:r>
      <w:r w:rsidRPr="00B60211">
        <w:rPr>
          <w:i/>
        </w:rPr>
        <w:t>See</w:t>
      </w:r>
      <w:r w:rsidRPr="00B60211">
        <w:t xml:space="preserve"> 47 C.F.R. §§ 1.1161(c), 1.1164(f)(5), and 1.1910.  </w:t>
      </w:r>
    </w:p>
  </w:footnote>
  <w:footnote w:id="149">
    <w:p w:rsidR="00DD2A3A" w:rsidRDefault="00DD2A3A" w:rsidP="0067780B">
      <w:pPr>
        <w:pStyle w:val="FootnoteText"/>
        <w:spacing w:before="120" w:after="0"/>
      </w:pPr>
      <w:r>
        <w:rPr>
          <w:rStyle w:val="FootnoteReference"/>
        </w:rPr>
        <w:footnoteRef/>
      </w:r>
      <w:r>
        <w:t xml:space="preserve"> 47 U.S.C. § 159.</w:t>
      </w:r>
    </w:p>
  </w:footnote>
  <w:footnote w:id="150">
    <w:p w:rsidR="00DD2A3A" w:rsidRPr="00B60211" w:rsidRDefault="00DD2A3A" w:rsidP="00264877">
      <w:pPr>
        <w:pStyle w:val="FootnoteText"/>
        <w:spacing w:before="120" w:after="0"/>
      </w:pPr>
      <w:r w:rsidRPr="00B60211">
        <w:rPr>
          <w:rStyle w:val="FootnoteReference"/>
        </w:rPr>
        <w:footnoteRef/>
      </w:r>
      <w:r w:rsidRPr="00B60211">
        <w:t xml:space="preserve"> </w:t>
      </w:r>
      <w:r w:rsidRPr="00B60211">
        <w:rPr>
          <w:i/>
        </w:rPr>
        <w:t>See</w:t>
      </w:r>
      <w:r w:rsidRPr="00B60211">
        <w:t xml:space="preserve"> 5 U.S.C. § 603.  The RFA, </w:t>
      </w:r>
      <w:r w:rsidRPr="00B60211">
        <w:rPr>
          <w:i/>
        </w:rPr>
        <w:t>see</w:t>
      </w:r>
      <w:r w:rsidRPr="00B60211">
        <w:t xml:space="preserve"> 5 U.S.C. §§ 601-612, has been amended by the Small Business Regulatory Enf</w:t>
      </w:r>
      <w:r>
        <w:t>orcement Fairness Act of 1996 (</w:t>
      </w:r>
      <w:r w:rsidRPr="00B60211">
        <w:t xml:space="preserve">SBREFA), Pub. L. No. 104-121, Title II, 110 Stat. 847 (1996).  The SBREFA was enacted as Title II of the Contract </w:t>
      </w:r>
      <w:r>
        <w:t>w</w:t>
      </w:r>
      <w:r w:rsidRPr="00B60211">
        <w:t>ith America Advancement Act of 1996 (CWAAA).</w:t>
      </w:r>
    </w:p>
  </w:footnote>
  <w:footnote w:id="151">
    <w:p w:rsidR="00DD2A3A" w:rsidRDefault="00DD2A3A" w:rsidP="00264877">
      <w:pPr>
        <w:pStyle w:val="FootnoteText"/>
      </w:pPr>
      <w:r>
        <w:rPr>
          <w:rStyle w:val="FootnoteReference"/>
        </w:rPr>
        <w:footnoteRef/>
      </w:r>
      <w:r>
        <w:t xml:space="preserve"> </w:t>
      </w:r>
      <w:r>
        <w:rPr>
          <w:spacing w:val="-2"/>
          <w:lang w:val="fr-FR"/>
        </w:rPr>
        <w:t xml:space="preserve">5 U.S.C. § 603.  </w:t>
      </w:r>
      <w:r>
        <w:rPr>
          <w:spacing w:val="-2"/>
        </w:rPr>
        <w:t>The RFA, 5 U.S.C. §§ 601-612 has been amended by the Small Business Regulatory Enforcement Fairness Act of 1996 (SBREFA), Pub. L. No. 104-121, Title II, 110 Stat. 847 (1996).</w:t>
      </w:r>
    </w:p>
  </w:footnote>
  <w:footnote w:id="152">
    <w:p w:rsidR="00DD2A3A" w:rsidRDefault="00DD2A3A" w:rsidP="00264877">
      <w:pPr>
        <w:pStyle w:val="FootnoteText"/>
      </w:pPr>
      <w:r>
        <w:rPr>
          <w:rStyle w:val="FootnoteReference"/>
        </w:rPr>
        <w:footnoteRef/>
      </w:r>
      <w:r>
        <w:t xml:space="preserve"> </w:t>
      </w:r>
      <w:r>
        <w:rPr>
          <w:spacing w:val="-2"/>
          <w:lang w:val="fr-FR"/>
        </w:rPr>
        <w:t>5 U.S.C. § 604.</w:t>
      </w:r>
    </w:p>
  </w:footnote>
  <w:footnote w:id="153">
    <w:p w:rsidR="00DD2A3A" w:rsidRPr="00A1103B" w:rsidRDefault="00DD2A3A" w:rsidP="00264877">
      <w:pPr>
        <w:pStyle w:val="FootnoteText"/>
      </w:pPr>
      <w:r w:rsidRPr="00A1103B">
        <w:rPr>
          <w:rStyle w:val="FootnoteReference"/>
        </w:rPr>
        <w:footnoteRef/>
      </w:r>
      <w:r w:rsidRPr="00A1103B">
        <w:t xml:space="preserve"> </w:t>
      </w:r>
      <w:r w:rsidRPr="00A1103B">
        <w:rPr>
          <w:color w:val="000000"/>
        </w:rPr>
        <w:t>47 U.S.C. § 159(a).</w:t>
      </w:r>
    </w:p>
  </w:footnote>
  <w:footnote w:id="154">
    <w:p w:rsidR="00DD2A3A" w:rsidRPr="00A1103B" w:rsidRDefault="00DD2A3A" w:rsidP="00264877">
      <w:pPr>
        <w:pStyle w:val="FootnoteText"/>
      </w:pPr>
      <w:r w:rsidRPr="00A1103B">
        <w:rPr>
          <w:rStyle w:val="FootnoteReference"/>
        </w:rPr>
        <w:footnoteRef/>
      </w:r>
      <w:r w:rsidRPr="00A1103B">
        <w:t xml:space="preserve"> </w:t>
      </w:r>
      <w:r w:rsidRPr="00A1103B">
        <w:rPr>
          <w:color w:val="000000"/>
        </w:rPr>
        <w:t>47 U.S.C. § 159(a).</w:t>
      </w:r>
    </w:p>
  </w:footnote>
  <w:footnote w:id="155">
    <w:p w:rsidR="00DD2A3A" w:rsidRDefault="00DD2A3A" w:rsidP="00264877">
      <w:pPr>
        <w:pStyle w:val="FootnoteText"/>
      </w:pPr>
      <w:r>
        <w:rPr>
          <w:rStyle w:val="FootnoteReference"/>
        </w:rPr>
        <w:footnoteRef/>
      </w:r>
      <w:r>
        <w:t xml:space="preserve"> </w:t>
      </w:r>
      <w:r>
        <w:rPr>
          <w:rStyle w:val="Footnote"/>
        </w:rPr>
        <w:t>5 U.S.C. § 603(b)(3).</w:t>
      </w:r>
    </w:p>
  </w:footnote>
  <w:footnote w:id="156">
    <w:p w:rsidR="00DD2A3A" w:rsidRDefault="00DD2A3A" w:rsidP="00264877">
      <w:pPr>
        <w:pStyle w:val="FootnoteText"/>
      </w:pPr>
      <w:r>
        <w:rPr>
          <w:rStyle w:val="FootnoteReference"/>
        </w:rPr>
        <w:footnoteRef/>
      </w:r>
      <w:r>
        <w:t xml:space="preserve"> </w:t>
      </w:r>
      <w:r>
        <w:rPr>
          <w:rStyle w:val="Footnote"/>
        </w:rPr>
        <w:t>5 U.S.C. § 601(6).</w:t>
      </w:r>
    </w:p>
  </w:footnote>
  <w:footnote w:id="157">
    <w:p w:rsidR="00DD2A3A" w:rsidRDefault="00DD2A3A" w:rsidP="00264877">
      <w:pPr>
        <w:pStyle w:val="FootnoteText"/>
      </w:pPr>
      <w:r>
        <w:rPr>
          <w:rStyle w:val="FootnoteReference"/>
        </w:rPr>
        <w:footnoteRef/>
      </w:r>
      <w:r>
        <w:t xml:space="preserve"> </w:t>
      </w:r>
      <w:r>
        <w:rPr>
          <w:rStyle w:val="Footnote"/>
        </w:rP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w:t>
      </w:r>
      <w:r w:rsidRPr="00357400">
        <w:t xml:space="preserve"> </w:t>
      </w:r>
      <w:r>
        <w:rPr>
          <w:rStyle w:val="Footnote"/>
        </w:rPr>
        <w:t>for public comment, establishes one or more definitions of such term which are appropriate to the activities of the agency and publishes such definition(s) in the Federal Register.”</w:t>
      </w:r>
    </w:p>
  </w:footnote>
  <w:footnote w:id="158">
    <w:p w:rsidR="00DD2A3A" w:rsidRDefault="00DD2A3A" w:rsidP="00264877">
      <w:pPr>
        <w:pStyle w:val="FootnoteText"/>
      </w:pPr>
      <w:r>
        <w:rPr>
          <w:rStyle w:val="FootnoteReference"/>
        </w:rPr>
        <w:footnoteRef/>
      </w:r>
      <w:r>
        <w:t xml:space="preserve"> </w:t>
      </w:r>
      <w:r>
        <w:rPr>
          <w:rStyle w:val="Footnote"/>
        </w:rPr>
        <w:t>15 U.S.C. § 632.</w:t>
      </w:r>
    </w:p>
  </w:footnote>
  <w:footnote w:id="159">
    <w:p w:rsidR="00DD2A3A" w:rsidRDefault="00DD2A3A" w:rsidP="00264877">
      <w:pPr>
        <w:pStyle w:val="FootnoteText"/>
      </w:pPr>
      <w:r>
        <w:rPr>
          <w:rStyle w:val="FootnoteReference"/>
        </w:rPr>
        <w:footnoteRef/>
      </w:r>
      <w:r>
        <w:t xml:space="preserve"> </w:t>
      </w:r>
      <w:r w:rsidRPr="005A3505">
        <w:rPr>
          <w:i/>
        </w:rPr>
        <w:t>See</w:t>
      </w:r>
      <w:r w:rsidRPr="005A3505">
        <w:t xml:space="preserve"> SBA, Office of Advocacy, “Frequently Asked Questions,” </w:t>
      </w:r>
      <w:hyperlink r:id="rId3" w:history="1">
        <w:r w:rsidRPr="00C31A4B">
          <w:rPr>
            <w:rStyle w:val="Hyperlink"/>
          </w:rPr>
          <w:t>http://www.sba.gov/sites/default/files/FAQ_Sept_2012.pdf.</w:t>
        </w:r>
      </w:hyperlink>
    </w:p>
  </w:footnote>
  <w:footnote w:id="160">
    <w:p w:rsidR="00DD2A3A" w:rsidRDefault="00DD2A3A" w:rsidP="00264877">
      <w:pPr>
        <w:pStyle w:val="FootnoteText"/>
      </w:pPr>
      <w:r>
        <w:rPr>
          <w:rStyle w:val="FootnoteReference"/>
        </w:rPr>
        <w:footnoteRef/>
      </w:r>
      <w:r>
        <w:t xml:space="preserve"> </w:t>
      </w:r>
      <w:r w:rsidRPr="00751F6C">
        <w:rPr>
          <w:i/>
        </w:rPr>
        <w:t>See id.</w:t>
      </w:r>
    </w:p>
  </w:footnote>
  <w:footnote w:id="161">
    <w:p w:rsidR="00DD2A3A" w:rsidRDefault="00DD2A3A" w:rsidP="00264877">
      <w:pPr>
        <w:pStyle w:val="FootnoteText"/>
      </w:pPr>
      <w:r>
        <w:rPr>
          <w:rStyle w:val="FootnoteReference"/>
        </w:rPr>
        <w:footnoteRef/>
      </w:r>
      <w:r>
        <w:t xml:space="preserve"> </w:t>
      </w:r>
      <w:r w:rsidRPr="00D15B65">
        <w:rPr>
          <w:rStyle w:val="Footnote"/>
        </w:rPr>
        <w:t>13 C.F.R. § 121.201, NAICS code 517110</w:t>
      </w:r>
      <w:r>
        <w:rPr>
          <w:rStyle w:val="Footnote"/>
        </w:rPr>
        <w:t>.</w:t>
      </w:r>
    </w:p>
  </w:footnote>
  <w:footnote w:id="162">
    <w:p w:rsidR="00DD2A3A" w:rsidRDefault="00DD2A3A" w:rsidP="00264877">
      <w:pPr>
        <w:pStyle w:val="FootnoteText"/>
      </w:pPr>
      <w:r>
        <w:rPr>
          <w:rStyle w:val="FootnoteReference"/>
        </w:rPr>
        <w:footnoteRef/>
      </w:r>
      <w:r>
        <w:t xml:space="preserve"> </w:t>
      </w:r>
      <w:r w:rsidRPr="00280043">
        <w:rPr>
          <w:i/>
        </w:rPr>
        <w:t>See id.</w:t>
      </w:r>
    </w:p>
  </w:footnote>
  <w:footnote w:id="163">
    <w:p w:rsidR="00DD2A3A" w:rsidRDefault="00DD2A3A" w:rsidP="00264877">
      <w:pPr>
        <w:pStyle w:val="FootnoteText"/>
      </w:pPr>
      <w:r>
        <w:rPr>
          <w:rStyle w:val="FootnoteReference"/>
        </w:rPr>
        <w:footnoteRef/>
      </w:r>
      <w:r>
        <w:t xml:space="preserve"> </w:t>
      </w:r>
      <w:r w:rsidRPr="00D15B65">
        <w:rPr>
          <w:rStyle w:val="Footnote"/>
        </w:rPr>
        <w:t>13 C.F.R. § 121.201, NAICS code 517110</w:t>
      </w:r>
      <w:r>
        <w:rPr>
          <w:rStyle w:val="Footnote"/>
        </w:rPr>
        <w:t>.</w:t>
      </w:r>
    </w:p>
  </w:footnote>
  <w:footnote w:id="164">
    <w:p w:rsidR="00DD2A3A" w:rsidRDefault="00DD2A3A" w:rsidP="00264877">
      <w:pPr>
        <w:pStyle w:val="FootnoteText"/>
      </w:pPr>
      <w:r>
        <w:rPr>
          <w:rStyle w:val="FootnoteReference"/>
        </w:rPr>
        <w:footnoteRef/>
      </w:r>
      <w:r>
        <w:t xml:space="preserve"> </w:t>
      </w:r>
      <w:r w:rsidRPr="00D15B65">
        <w:rPr>
          <w:i/>
        </w:rPr>
        <w:t>See Trends in Telephone Service</w:t>
      </w:r>
      <w:r w:rsidRPr="00D15B65">
        <w:t>, Federal Communications Commission, Wireline Competition Bureau, Industry Analysis and Technology Divis</w:t>
      </w:r>
      <w:r>
        <w:t>ion at Table 5.3 (Sept. 2010) (</w:t>
      </w:r>
      <w:r w:rsidRPr="00D15B65">
        <w:rPr>
          <w:i/>
        </w:rPr>
        <w:t>Trends in Telephone Service</w:t>
      </w:r>
      <w:r w:rsidRPr="00D15B65">
        <w:t>).</w:t>
      </w:r>
    </w:p>
  </w:footnote>
  <w:footnote w:id="165">
    <w:p w:rsidR="00DD2A3A" w:rsidRDefault="00DD2A3A" w:rsidP="00264877">
      <w:pPr>
        <w:pStyle w:val="FootnoteText"/>
      </w:pPr>
      <w:r>
        <w:rPr>
          <w:rStyle w:val="FootnoteReference"/>
        </w:rPr>
        <w:footnoteRef/>
      </w:r>
      <w:r>
        <w:t xml:space="preserve"> </w:t>
      </w:r>
      <w:r w:rsidRPr="00007763">
        <w:rPr>
          <w:i/>
        </w:rPr>
        <w:t>Id.</w:t>
      </w:r>
    </w:p>
  </w:footnote>
  <w:footnote w:id="166">
    <w:p w:rsidR="00DD2A3A" w:rsidRDefault="00DD2A3A" w:rsidP="00264877">
      <w:pPr>
        <w:pStyle w:val="FootnoteText"/>
      </w:pPr>
      <w:r>
        <w:rPr>
          <w:rStyle w:val="FootnoteReference"/>
        </w:rPr>
        <w:footnoteRef/>
      </w:r>
      <w:r>
        <w:t xml:space="preserve"> </w:t>
      </w:r>
      <w:r>
        <w:rPr>
          <w:rStyle w:val="FootnoteTextChar4"/>
        </w:rPr>
        <w:t>13 C.F.R. § 121.201, NAICS code 517110.</w:t>
      </w:r>
    </w:p>
  </w:footnote>
  <w:footnote w:id="167">
    <w:p w:rsidR="00DD2A3A" w:rsidRDefault="00DD2A3A" w:rsidP="00264877">
      <w:pPr>
        <w:pStyle w:val="FootnoteText"/>
      </w:pPr>
      <w:r>
        <w:rPr>
          <w:rStyle w:val="FootnoteReference"/>
        </w:rPr>
        <w:footnoteRef/>
      </w:r>
      <w:r>
        <w:t xml:space="preserve"> </w:t>
      </w:r>
      <w:r>
        <w:rPr>
          <w:i/>
        </w:rPr>
        <w:t>See Trends in Telephone Service,</w:t>
      </w:r>
      <w:r>
        <w:t xml:space="preserve"> at tbl. 5.3.</w:t>
      </w:r>
    </w:p>
  </w:footnote>
  <w:footnote w:id="168">
    <w:p w:rsidR="00DD2A3A" w:rsidRDefault="00DD2A3A" w:rsidP="00264877">
      <w:pPr>
        <w:pStyle w:val="FootnoteText"/>
      </w:pPr>
      <w:r>
        <w:rPr>
          <w:rStyle w:val="FootnoteReference"/>
        </w:rPr>
        <w:footnoteRef/>
      </w:r>
      <w:r>
        <w:t xml:space="preserve"> </w:t>
      </w:r>
      <w:r>
        <w:rPr>
          <w:i/>
        </w:rPr>
        <w:t>I</w:t>
      </w:r>
      <w:r w:rsidRPr="00F71FA2">
        <w:rPr>
          <w:i/>
        </w:rPr>
        <w:t>d.</w:t>
      </w:r>
    </w:p>
  </w:footnote>
  <w:footnote w:id="169">
    <w:p w:rsidR="00DD2A3A" w:rsidRDefault="00DD2A3A" w:rsidP="00264877">
      <w:pPr>
        <w:pStyle w:val="FootnoteText"/>
      </w:pPr>
      <w:r>
        <w:rPr>
          <w:rStyle w:val="FootnoteReference"/>
        </w:rPr>
        <w:footnoteRef/>
      </w:r>
      <w:r>
        <w:t xml:space="preserve"> </w:t>
      </w:r>
      <w:r w:rsidRPr="00C71B0F">
        <w:rPr>
          <w:i/>
        </w:rPr>
        <w:t>Id.</w:t>
      </w:r>
    </w:p>
  </w:footnote>
  <w:footnote w:id="170">
    <w:p w:rsidR="00DD2A3A" w:rsidRDefault="00DD2A3A" w:rsidP="00264877">
      <w:pPr>
        <w:pStyle w:val="FootnoteText"/>
      </w:pPr>
      <w:r>
        <w:rPr>
          <w:rStyle w:val="FootnoteReference"/>
        </w:rPr>
        <w:footnoteRef/>
      </w:r>
      <w:r>
        <w:t xml:space="preserve"> </w:t>
      </w:r>
      <w:r w:rsidRPr="00C71B0F">
        <w:rPr>
          <w:i/>
        </w:rPr>
        <w:t>Id.</w:t>
      </w:r>
    </w:p>
  </w:footnote>
  <w:footnote w:id="171">
    <w:p w:rsidR="00DD2A3A" w:rsidRDefault="00DD2A3A" w:rsidP="00264877">
      <w:pPr>
        <w:pStyle w:val="FootnoteText"/>
      </w:pPr>
      <w:r>
        <w:rPr>
          <w:rStyle w:val="FootnoteReference"/>
        </w:rPr>
        <w:footnoteRef/>
      </w:r>
      <w:r>
        <w:t xml:space="preserve"> </w:t>
      </w:r>
      <w:r w:rsidRPr="00C71B0F">
        <w:rPr>
          <w:i/>
        </w:rPr>
        <w:t>Id.</w:t>
      </w:r>
    </w:p>
  </w:footnote>
  <w:footnote w:id="172">
    <w:p w:rsidR="00DD2A3A" w:rsidRDefault="00DD2A3A" w:rsidP="00264877">
      <w:pPr>
        <w:pStyle w:val="FootnoteText"/>
      </w:pPr>
      <w:r>
        <w:rPr>
          <w:rStyle w:val="FootnoteReference"/>
        </w:rPr>
        <w:footnoteRef/>
      </w:r>
      <w:r>
        <w:t xml:space="preserve"> </w:t>
      </w:r>
      <w:r>
        <w:rPr>
          <w:color w:val="000000"/>
        </w:rPr>
        <w:t>13 C.F.R. § 121.201, NAICS code 517110.</w:t>
      </w:r>
    </w:p>
  </w:footnote>
  <w:footnote w:id="173">
    <w:p w:rsidR="00DD2A3A" w:rsidRDefault="00DD2A3A" w:rsidP="00264877">
      <w:pPr>
        <w:pStyle w:val="FootnoteText"/>
      </w:pPr>
      <w:r>
        <w:rPr>
          <w:rStyle w:val="FootnoteReference"/>
        </w:rPr>
        <w:footnoteRef/>
      </w:r>
      <w:r>
        <w:t xml:space="preserve"> </w:t>
      </w:r>
      <w:r>
        <w:rPr>
          <w:i/>
        </w:rPr>
        <w:t>See Trends in Telephone Service,</w:t>
      </w:r>
      <w:r>
        <w:t xml:space="preserve"> at tbl. 5.3.</w:t>
      </w:r>
    </w:p>
  </w:footnote>
  <w:footnote w:id="174">
    <w:p w:rsidR="00DD2A3A" w:rsidRDefault="00DD2A3A" w:rsidP="00264877">
      <w:pPr>
        <w:pStyle w:val="FootnoteText"/>
      </w:pPr>
      <w:r>
        <w:rPr>
          <w:rStyle w:val="FootnoteReference"/>
        </w:rPr>
        <w:footnoteRef/>
      </w:r>
      <w:r>
        <w:t xml:space="preserve"> </w:t>
      </w:r>
      <w:r w:rsidRPr="0026657E">
        <w:rPr>
          <w:i/>
        </w:rPr>
        <w:t>Id.</w:t>
      </w:r>
    </w:p>
  </w:footnote>
  <w:footnote w:id="175">
    <w:p w:rsidR="00DD2A3A" w:rsidRDefault="00DD2A3A" w:rsidP="00264877">
      <w:pPr>
        <w:pStyle w:val="FootnoteText"/>
      </w:pPr>
      <w:r>
        <w:rPr>
          <w:rStyle w:val="FootnoteReference"/>
        </w:rPr>
        <w:footnoteRef/>
      </w:r>
      <w:r>
        <w:t xml:space="preserve"> </w:t>
      </w:r>
      <w:r>
        <w:rPr>
          <w:color w:val="000000"/>
        </w:rPr>
        <w:t>13 C.F.R. § 121.201, NAICS code 517911.</w:t>
      </w:r>
    </w:p>
  </w:footnote>
  <w:footnote w:id="176">
    <w:p w:rsidR="00DD2A3A" w:rsidRDefault="00DD2A3A" w:rsidP="00264877">
      <w:pPr>
        <w:pStyle w:val="FootnoteText"/>
      </w:pPr>
      <w:r>
        <w:rPr>
          <w:rStyle w:val="FootnoteReference"/>
        </w:rPr>
        <w:footnoteRef/>
      </w:r>
      <w:hyperlink r:id="rId4" w:history="1">
        <w:r w:rsidRPr="00B07152">
          <w:rPr>
            <w:rStyle w:val="Hyperlink"/>
          </w:rPr>
          <w:t>http://factfinder2.census.gov/faces/tableservices/jsf/pages/productview.xhtml?pid=ECN_2007_US_51SSSZ2&amp;prodType=table</w:t>
        </w:r>
      </w:hyperlink>
      <w:r w:rsidRPr="00860117">
        <w:rPr>
          <w:i/>
        </w:rPr>
        <w:t>.</w:t>
      </w:r>
    </w:p>
  </w:footnote>
  <w:footnote w:id="177">
    <w:p w:rsidR="00DD2A3A" w:rsidRDefault="00DD2A3A" w:rsidP="00264877">
      <w:pPr>
        <w:pStyle w:val="FootnoteText"/>
      </w:pPr>
      <w:r>
        <w:rPr>
          <w:rStyle w:val="FootnoteReference"/>
        </w:rPr>
        <w:footnoteRef/>
      </w:r>
      <w:r>
        <w:t xml:space="preserve"> </w:t>
      </w:r>
      <w:r>
        <w:rPr>
          <w:i/>
        </w:rPr>
        <w:t>See Trends in Telephone Service,</w:t>
      </w:r>
      <w:r>
        <w:t xml:space="preserve"> at tbl. 5.3.</w:t>
      </w:r>
    </w:p>
  </w:footnote>
  <w:footnote w:id="178">
    <w:p w:rsidR="00DD2A3A" w:rsidRDefault="00DD2A3A" w:rsidP="00264877">
      <w:pPr>
        <w:pStyle w:val="FootnoteText"/>
      </w:pPr>
      <w:r>
        <w:rPr>
          <w:rStyle w:val="FootnoteReference"/>
        </w:rPr>
        <w:footnoteRef/>
      </w:r>
      <w:r>
        <w:t xml:space="preserve"> </w:t>
      </w:r>
      <w:r w:rsidRPr="00860117">
        <w:rPr>
          <w:i/>
        </w:rPr>
        <w:t>Id.</w:t>
      </w:r>
    </w:p>
  </w:footnote>
  <w:footnote w:id="179">
    <w:p w:rsidR="00DD2A3A" w:rsidRDefault="00DD2A3A" w:rsidP="00264877">
      <w:pPr>
        <w:pStyle w:val="FootnoteText"/>
      </w:pPr>
      <w:r>
        <w:rPr>
          <w:rStyle w:val="FootnoteReference"/>
        </w:rPr>
        <w:footnoteRef/>
      </w:r>
      <w:r>
        <w:t xml:space="preserve"> </w:t>
      </w:r>
      <w:r>
        <w:rPr>
          <w:color w:val="000000"/>
        </w:rPr>
        <w:t>13 C.F.R. § 121.201, NAICS code 517911.</w:t>
      </w:r>
    </w:p>
  </w:footnote>
  <w:footnote w:id="180">
    <w:p w:rsidR="00DD2A3A" w:rsidRDefault="00DD2A3A" w:rsidP="00264877">
      <w:pPr>
        <w:pStyle w:val="FootnoteText"/>
      </w:pPr>
      <w:r>
        <w:rPr>
          <w:rStyle w:val="FootnoteReference"/>
        </w:rPr>
        <w:footnoteRef/>
      </w:r>
      <w:hyperlink r:id="rId5" w:history="1">
        <w:r w:rsidRPr="00B07152">
          <w:rPr>
            <w:rStyle w:val="Hyperlink"/>
          </w:rPr>
          <w:t>http://factfinder2.census.gov/faces/tableservices/jsf/pages/productview.xhtml?pid=ECN_2007_US_51SSSZ2&amp;prodType=table</w:t>
        </w:r>
      </w:hyperlink>
      <w:r w:rsidRPr="00860117">
        <w:rPr>
          <w:i/>
        </w:rPr>
        <w:t>.</w:t>
      </w:r>
    </w:p>
  </w:footnote>
  <w:footnote w:id="181">
    <w:p w:rsidR="00DD2A3A" w:rsidRDefault="00DD2A3A" w:rsidP="00264877">
      <w:pPr>
        <w:pStyle w:val="FootnoteText"/>
      </w:pPr>
      <w:r>
        <w:rPr>
          <w:rStyle w:val="FootnoteReference"/>
        </w:rPr>
        <w:footnoteRef/>
      </w:r>
      <w:r>
        <w:t xml:space="preserve"> </w:t>
      </w:r>
      <w:r>
        <w:rPr>
          <w:i/>
          <w:color w:val="000000"/>
        </w:rPr>
        <w:t>See Trends in Telephone Service,</w:t>
      </w:r>
      <w:r>
        <w:rPr>
          <w:color w:val="000000"/>
        </w:rPr>
        <w:t xml:space="preserve"> at tbl. 5.3.  </w:t>
      </w:r>
    </w:p>
  </w:footnote>
  <w:footnote w:id="182">
    <w:p w:rsidR="00DD2A3A" w:rsidRDefault="00DD2A3A" w:rsidP="00264877">
      <w:pPr>
        <w:pStyle w:val="FootnoteText"/>
      </w:pPr>
      <w:r>
        <w:rPr>
          <w:rStyle w:val="FootnoteReference"/>
        </w:rPr>
        <w:footnoteRef/>
      </w:r>
      <w:r>
        <w:t xml:space="preserve"> </w:t>
      </w:r>
      <w:r w:rsidRPr="00E024DD">
        <w:rPr>
          <w:i/>
        </w:rPr>
        <w:t>Id.</w:t>
      </w:r>
    </w:p>
  </w:footnote>
  <w:footnote w:id="183">
    <w:p w:rsidR="00DD2A3A" w:rsidRDefault="00DD2A3A" w:rsidP="00264877">
      <w:pPr>
        <w:pStyle w:val="FootnoteText"/>
      </w:pPr>
      <w:r>
        <w:rPr>
          <w:rStyle w:val="FootnoteReference"/>
        </w:rPr>
        <w:footnoteRef/>
      </w:r>
      <w:r>
        <w:t xml:space="preserve"> </w:t>
      </w:r>
      <w:r>
        <w:rPr>
          <w:color w:val="000000"/>
        </w:rPr>
        <w:t>13 C.F.R. § 121.201, NAICS code 517911.</w:t>
      </w:r>
    </w:p>
  </w:footnote>
  <w:footnote w:id="184">
    <w:p w:rsidR="00DD2A3A" w:rsidRPr="00B07152" w:rsidRDefault="00DD2A3A" w:rsidP="00264877">
      <w:pPr>
        <w:pStyle w:val="FootnoteText"/>
      </w:pPr>
      <w:r>
        <w:rPr>
          <w:rStyle w:val="FootnoteReference"/>
        </w:rPr>
        <w:footnoteRef/>
      </w:r>
      <w:hyperlink r:id="rId6" w:history="1">
        <w:r w:rsidRPr="00B07152">
          <w:rPr>
            <w:rStyle w:val="Hyperlink"/>
          </w:rPr>
          <w:t>http://factfinder2.census.gov/faces/tableservices/jsf/pages/productview.xhtml?pid=ECN_2007_US_51SSSZ2&amp;prodType=table</w:t>
        </w:r>
      </w:hyperlink>
      <w:r w:rsidRPr="00860117">
        <w:rPr>
          <w:i/>
        </w:rPr>
        <w:t>.</w:t>
      </w:r>
    </w:p>
  </w:footnote>
  <w:footnote w:id="185">
    <w:p w:rsidR="00DD2A3A" w:rsidRDefault="00DD2A3A" w:rsidP="00264877">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186">
    <w:p w:rsidR="00DD2A3A" w:rsidRDefault="00DD2A3A" w:rsidP="00264877">
      <w:pPr>
        <w:pStyle w:val="FootnoteText"/>
      </w:pPr>
      <w:r>
        <w:rPr>
          <w:rStyle w:val="FootnoteReference"/>
        </w:rPr>
        <w:footnoteRef/>
      </w:r>
      <w:r>
        <w:t xml:space="preserve"> </w:t>
      </w:r>
      <w:r w:rsidRPr="00E52E8F">
        <w:rPr>
          <w:i/>
        </w:rPr>
        <w:t>Id.</w:t>
      </w:r>
    </w:p>
  </w:footnote>
  <w:footnote w:id="187">
    <w:p w:rsidR="00DD2A3A" w:rsidRDefault="00DD2A3A" w:rsidP="00264877">
      <w:pPr>
        <w:pStyle w:val="FootnoteText"/>
      </w:pPr>
      <w:r>
        <w:rPr>
          <w:rStyle w:val="FootnoteReference"/>
        </w:rPr>
        <w:footnoteRef/>
      </w:r>
      <w:r>
        <w:t xml:space="preserve"> </w:t>
      </w:r>
      <w:r>
        <w:rPr>
          <w:color w:val="000000"/>
        </w:rPr>
        <w:t>13 C.F.R. § 121.201, NAICS code 517110.</w:t>
      </w:r>
    </w:p>
  </w:footnote>
  <w:footnote w:id="188">
    <w:p w:rsidR="00DD2A3A" w:rsidRDefault="00DD2A3A" w:rsidP="00264877">
      <w:pPr>
        <w:pStyle w:val="FootnoteText"/>
      </w:pPr>
      <w:r>
        <w:rPr>
          <w:rStyle w:val="FootnoteReference"/>
        </w:rPr>
        <w:footnoteRef/>
      </w:r>
      <w:r>
        <w:t xml:space="preserve"> </w:t>
      </w:r>
      <w:r w:rsidRPr="00235678">
        <w:rPr>
          <w:i/>
        </w:rPr>
        <w:t>Id.</w:t>
      </w:r>
    </w:p>
  </w:footnote>
  <w:footnote w:id="189">
    <w:p w:rsidR="00DD2A3A" w:rsidRDefault="00DD2A3A" w:rsidP="00264877">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190">
    <w:p w:rsidR="00DD2A3A" w:rsidRDefault="00DD2A3A" w:rsidP="00264877">
      <w:pPr>
        <w:pStyle w:val="FootnoteText"/>
      </w:pPr>
      <w:r>
        <w:rPr>
          <w:rStyle w:val="FootnoteReference"/>
        </w:rPr>
        <w:footnoteRef/>
      </w:r>
      <w:r>
        <w:t xml:space="preserve"> </w:t>
      </w:r>
      <w:r w:rsidRPr="00B605CD">
        <w:rPr>
          <w:i/>
        </w:rPr>
        <w:t>Id.</w:t>
      </w:r>
    </w:p>
  </w:footnote>
  <w:footnote w:id="191">
    <w:p w:rsidR="00DD2A3A" w:rsidRDefault="00DD2A3A" w:rsidP="00264877">
      <w:pPr>
        <w:pStyle w:val="FootnoteText"/>
      </w:pPr>
      <w:r>
        <w:rPr>
          <w:rStyle w:val="FootnoteReference"/>
        </w:rPr>
        <w:footnoteRef/>
      </w:r>
      <w:r>
        <w:t xml:space="preserve"> </w:t>
      </w:r>
      <w:r>
        <w:rPr>
          <w:color w:val="000000"/>
        </w:rPr>
        <w:t>13 C.F.R. § 121.201, NAICS code 517210.</w:t>
      </w:r>
    </w:p>
  </w:footnote>
  <w:footnote w:id="192">
    <w:p w:rsidR="00DD2A3A" w:rsidRDefault="00DD2A3A" w:rsidP="00264877">
      <w:pPr>
        <w:pStyle w:val="FootnoteText"/>
      </w:pPr>
      <w:r>
        <w:rPr>
          <w:rStyle w:val="FootnoteReference"/>
        </w:rPr>
        <w:footnoteRef/>
      </w:r>
      <w:r>
        <w:t xml:space="preserve"> U.S. Census Bureau, 2002 NAICS Definitions, “517211 Paging,” available at </w:t>
      </w:r>
      <w:hyperlink r:id="rId7" w:history="1">
        <w:r w:rsidRPr="006B6A44">
          <w:rPr>
            <w:rStyle w:val="Hyperlink"/>
          </w:rPr>
          <w:t>http://www.census.gov/cgibin/ sssd/naics/naicsrch?code=517211&amp;search=2002%20NAICS%20Search</w:t>
        </w:r>
      </w:hyperlink>
      <w:r>
        <w:t xml:space="preserve">; U.S. Census Bureau, 2002 NAICS Definitions, “517212 Cellular and Other Wireless Telecommunications,” available at </w:t>
      </w:r>
      <w:hyperlink r:id="rId8" w:history="1">
        <w:r w:rsidRPr="006B6A44">
          <w:rPr>
            <w:rStyle w:val="Hyperlink"/>
          </w:rPr>
          <w:t>http://www.census.gov/cgi-bin/sssd/naics/naicsrch?code=517212&amp;search=2002%20NAICS%20Search</w:t>
        </w:r>
      </w:hyperlink>
      <w:r>
        <w:t>.</w:t>
      </w:r>
    </w:p>
  </w:footnote>
  <w:footnote w:id="193">
    <w:p w:rsidR="00DD2A3A" w:rsidRDefault="00DD2A3A" w:rsidP="00264877">
      <w:pPr>
        <w:pStyle w:val="FootnoteText"/>
      </w:pPr>
      <w:r>
        <w:rPr>
          <w:rStyle w:val="FootnoteReference"/>
        </w:rPr>
        <w:footnoteRef/>
      </w:r>
      <w:r>
        <w:t xml:space="preserve"> 13 C.F.R. § 121.201, NAICS code 517210. The now-superseded, pre-2007 C.F.R. citations were 13 C.F.R. § 121.201, NAICS codes 517211 and 517212 (referring to the 2002 NAICS).</w:t>
      </w:r>
    </w:p>
  </w:footnote>
  <w:footnote w:id="194">
    <w:p w:rsidR="00DD2A3A" w:rsidRDefault="00DD2A3A" w:rsidP="00264877">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195">
    <w:p w:rsidR="00DD2A3A" w:rsidRDefault="00DD2A3A" w:rsidP="00264877">
      <w:pPr>
        <w:pStyle w:val="FootnoteText"/>
      </w:pPr>
      <w:r>
        <w:rPr>
          <w:rStyle w:val="FootnoteReference"/>
        </w:rPr>
        <w:footnoteRef/>
      </w:r>
      <w:r>
        <w:t xml:space="preserve"> </w:t>
      </w:r>
      <w:r w:rsidRPr="00005C93">
        <w:rPr>
          <w:i/>
        </w:rPr>
        <w:t>Id.</w:t>
      </w:r>
      <w:r>
        <w:t xml:space="preserve"> Available census data do not provide a more precise estimate of the number of firms that have employment of 1,500 or fewer employees; the largest category provided is for firms with “100 employees or more.”</w:t>
      </w:r>
    </w:p>
  </w:footnote>
  <w:footnote w:id="196">
    <w:p w:rsidR="00DD2A3A" w:rsidRDefault="00DD2A3A" w:rsidP="00264877">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197">
    <w:p w:rsidR="00DD2A3A" w:rsidRDefault="00DD2A3A" w:rsidP="00264877">
      <w:pPr>
        <w:pStyle w:val="FootnoteText"/>
      </w:pPr>
      <w:r>
        <w:rPr>
          <w:rStyle w:val="FootnoteReference"/>
        </w:rPr>
        <w:footnoteRef/>
      </w:r>
      <w:r>
        <w:t xml:space="preserve"> </w:t>
      </w:r>
      <w:r w:rsidRPr="00233E31">
        <w:rPr>
          <w:i/>
        </w:rPr>
        <w:t>Id.</w:t>
      </w:r>
    </w:p>
  </w:footnote>
  <w:footnote w:id="198">
    <w:p w:rsidR="00DD2A3A" w:rsidRDefault="00DD2A3A" w:rsidP="00264877">
      <w:pPr>
        <w:pStyle w:val="FootnoteText"/>
      </w:pPr>
      <w:r>
        <w:rPr>
          <w:rStyle w:val="FootnoteReference"/>
        </w:rPr>
        <w:footnoteRef/>
      </w:r>
      <w:r>
        <w:t xml:space="preserve"> U.S. Census Bureau, 2007 NAICS Definitions, “517110 Wired Telecommunications Carriers” (partial definition), available at </w:t>
      </w:r>
      <w:hyperlink r:id="rId9" w:history="1">
        <w:r w:rsidRPr="003D56E0">
          <w:rPr>
            <w:rStyle w:val="Hyperlink"/>
          </w:rPr>
          <w:t>http://www.census.gov/cgi-bin/sssd/naics/naicsrch?code=517110&amp;search=2007%20NAICS%20Search</w:t>
        </w:r>
      </w:hyperlink>
      <w:r>
        <w:t>.</w:t>
      </w:r>
    </w:p>
  </w:footnote>
  <w:footnote w:id="199">
    <w:p w:rsidR="00DD2A3A" w:rsidRDefault="00DD2A3A" w:rsidP="00264877">
      <w:pPr>
        <w:pStyle w:val="FootnoteText"/>
      </w:pPr>
      <w:r>
        <w:rPr>
          <w:rStyle w:val="FootnoteReference"/>
        </w:rPr>
        <w:footnoteRef/>
      </w:r>
      <w:r>
        <w:t xml:space="preserve"> </w:t>
      </w:r>
      <w:r>
        <w:rPr>
          <w:color w:val="000000"/>
        </w:rPr>
        <w:t>13 C.F.R. § 121.201, NAICS code 517110.</w:t>
      </w:r>
    </w:p>
  </w:footnote>
  <w:footnote w:id="200">
    <w:p w:rsidR="00DD2A3A" w:rsidRDefault="00DD2A3A" w:rsidP="00264877">
      <w:pPr>
        <w:pStyle w:val="FootnoteText"/>
      </w:pPr>
      <w:r>
        <w:rPr>
          <w:rStyle w:val="FootnoteReference"/>
        </w:rPr>
        <w:footnoteRef/>
      </w:r>
      <w:r>
        <w:t xml:space="preserve"> </w:t>
      </w:r>
      <w:r w:rsidRPr="00FB045B">
        <w:rPr>
          <w:i/>
        </w:rPr>
        <w:t>See</w:t>
      </w:r>
      <w:r>
        <w:t xml:space="preserve"> 47 C.F.R. § 76.901(e). The Commission determined that this size standard equates approximately to a size standard of $100 million or less in annual revenues. </w:t>
      </w:r>
      <w:r w:rsidRPr="00FB045B">
        <w:rPr>
          <w:i/>
        </w:rPr>
        <w:t>See Implementation of Sections of the 1992 Cable Television Consumer Protection and Competition Act: Rate Regulation</w:t>
      </w:r>
      <w:r>
        <w:t>, MM Docket Nos. 92-266, 93-215, Sixth Report and Order and Eleventh Order on Reconsideration, 10 FCC Rcd 7393, 7408, para. 28 (1995).</w:t>
      </w:r>
    </w:p>
  </w:footnote>
  <w:footnote w:id="201">
    <w:p w:rsidR="00DD2A3A" w:rsidRDefault="00DD2A3A" w:rsidP="00264877">
      <w:pPr>
        <w:pStyle w:val="FootnoteText"/>
      </w:pPr>
      <w:r>
        <w:rPr>
          <w:rStyle w:val="FootnoteReference"/>
        </w:rPr>
        <w:footnoteRef/>
      </w:r>
      <w:r>
        <w:t xml:space="preserve"> These data are derived from R.R. BOWKER, BROADCASTING &amp; CABLE YEARBOOK 2006, “Top 25 Cable/Satellite Operators,” pages A-8 &amp; C-2 (data current as of June 30, 2005); WARREN COMMUNICATIONS NEWS, TELEVISION &amp; CABLE FACTBOOK 2006, “Ownership of Cable Systems in the United States,” pages D-1805 to D-1857. </w:t>
      </w:r>
    </w:p>
  </w:footnote>
  <w:footnote w:id="202">
    <w:p w:rsidR="00DD2A3A" w:rsidRDefault="00DD2A3A" w:rsidP="00264877">
      <w:pPr>
        <w:pStyle w:val="FootnoteText"/>
      </w:pPr>
      <w:r>
        <w:rPr>
          <w:rStyle w:val="FootnoteReference"/>
        </w:rPr>
        <w:footnoteRef/>
      </w:r>
      <w:r>
        <w:t xml:space="preserve"> </w:t>
      </w:r>
      <w:r w:rsidRPr="007C15AD">
        <w:rPr>
          <w:i/>
        </w:rPr>
        <w:t xml:space="preserve">See </w:t>
      </w:r>
      <w:r w:rsidRPr="007C15AD">
        <w:t>47 C.F.R. § 76.901(c).</w:t>
      </w:r>
    </w:p>
  </w:footnote>
  <w:footnote w:id="203">
    <w:p w:rsidR="00DD2A3A" w:rsidRDefault="00DD2A3A" w:rsidP="00264877">
      <w:pPr>
        <w:pStyle w:val="FootnoteText"/>
      </w:pPr>
      <w:r>
        <w:rPr>
          <w:rStyle w:val="FootnoteReference"/>
        </w:rPr>
        <w:footnoteRef/>
      </w:r>
      <w:r>
        <w:t xml:space="preserve"> WARREN COMMUNICATIONS NEWS, TELEVISION &amp; CABLE FACTBOOK 2006, “U.S. Cable Systems by Subscriber Size,” page F-2 (data current as of Oct. 2007). The data do not include 851 systems for which classifying data were not available.</w:t>
      </w:r>
    </w:p>
  </w:footnote>
  <w:footnote w:id="204">
    <w:p w:rsidR="00DD2A3A" w:rsidRDefault="00DD2A3A" w:rsidP="00264877">
      <w:pPr>
        <w:pStyle w:val="FootnoteText"/>
      </w:pPr>
      <w:r>
        <w:rPr>
          <w:rStyle w:val="FootnoteReference"/>
        </w:rPr>
        <w:footnoteRef/>
      </w:r>
      <w:r>
        <w:t xml:space="preserve"> U.S. Census Bureau, “2007 NAICS Definitions: 517919 All Other Telecommunications,” available at </w:t>
      </w:r>
      <w:hyperlink r:id="rId10" w:history="1">
        <w:r w:rsidRPr="00D33F9D">
          <w:rPr>
            <w:rStyle w:val="Hyperlink"/>
          </w:rPr>
          <w:t>http://www.census.gov/cgi-bin/sssd/naics/naicsrch?code=517919&amp;search=2007%20NAICS%20Search</w:t>
        </w:r>
      </w:hyperlink>
      <w:r>
        <w:t>.</w:t>
      </w:r>
    </w:p>
  </w:footnote>
  <w:footnote w:id="205">
    <w:p w:rsidR="00DD2A3A" w:rsidRDefault="00DD2A3A" w:rsidP="00264877">
      <w:pPr>
        <w:pStyle w:val="FootnoteText"/>
      </w:pPr>
      <w:r>
        <w:rPr>
          <w:rStyle w:val="FootnoteReference"/>
        </w:rPr>
        <w:footnoteRef/>
      </w:r>
      <w:r>
        <w:t xml:space="preserve"> </w:t>
      </w:r>
      <w:r>
        <w:rPr>
          <w:color w:val="000000"/>
        </w:rPr>
        <w:t>13 C.F.R. § 121.201, NAICS code 517919.</w:t>
      </w:r>
    </w:p>
  </w:footnote>
  <w:footnote w:id="206">
    <w:p w:rsidR="00DD2A3A" w:rsidRDefault="00DD2A3A" w:rsidP="00264877">
      <w:pPr>
        <w:pStyle w:val="FootnoteText"/>
      </w:pPr>
      <w:r>
        <w:rPr>
          <w:rStyle w:val="FootnoteReference"/>
        </w:rPr>
        <w:footnoteRef/>
      </w:r>
      <w:r>
        <w:t xml:space="preserve"> U.S. Census Bureau, 2007 Economic Census, Subject Series: Information, Table 4, “Establishment and Firm Size:  Receipts Size of Firms for the United States: 2007 NAICS Code 517919” (issued Nov. 2010).</w:t>
      </w:r>
    </w:p>
  </w:footnote>
  <w:footnote w:id="207">
    <w:p w:rsidR="00DD2A3A" w:rsidRDefault="00DD2A3A" w:rsidP="00264877">
      <w:pPr>
        <w:pStyle w:val="FootnoteText"/>
      </w:pPr>
      <w:r>
        <w:rPr>
          <w:rStyle w:val="FootnoteReference"/>
        </w:rPr>
        <w:footnoteRef/>
      </w:r>
      <w:r>
        <w:t xml:space="preserve"> </w:t>
      </w:r>
      <w:r w:rsidRPr="001502DB">
        <w:rPr>
          <w:i/>
        </w:rPr>
        <w:t>Id.</w:t>
      </w:r>
    </w:p>
  </w:footnote>
  <w:footnote w:id="208">
    <w:p w:rsidR="00DD2A3A" w:rsidRDefault="00DD2A3A" w:rsidP="00264877">
      <w:pPr>
        <w:pStyle w:val="FootnoteText"/>
      </w:pPr>
      <w:r>
        <w:rPr>
          <w:rStyle w:val="FootnoteReference"/>
        </w:rPr>
        <w:footnoteRef/>
      </w:r>
      <w:r>
        <w:t xml:space="preserve"> </w:t>
      </w:r>
      <w:r w:rsidRPr="00185ED3">
        <w:t>5 U.S.C. § 603(c)(1)–(c)(4).</w:t>
      </w:r>
    </w:p>
  </w:footnote>
  <w:footnote w:id="209">
    <w:p w:rsidR="00DD2A3A" w:rsidRDefault="00DD2A3A" w:rsidP="007159E0">
      <w:pPr>
        <w:pStyle w:val="FootnoteText"/>
      </w:pPr>
      <w:r>
        <w:rPr>
          <w:rStyle w:val="FootnoteReference"/>
        </w:rPr>
        <w:footnoteRef/>
      </w:r>
      <w:r>
        <w:t xml:space="preserve"> </w:t>
      </w:r>
      <w:r>
        <w:rPr>
          <w:spacing w:val="-2"/>
          <w:lang w:val="fr-FR"/>
        </w:rPr>
        <w:t xml:space="preserve">5 U.S.C. § 603.  </w:t>
      </w:r>
      <w:r>
        <w:rPr>
          <w:spacing w:val="-2"/>
        </w:rPr>
        <w:t>The RFA, 5 U.S.C. §§ 601-612 has been amended by the Small Business Regulatory Enforcement Fairness Act of 1996 (SBREFA), Pub. L. No. 104-121, Title II, 110 Stat. 847 (1996).</w:t>
      </w:r>
    </w:p>
  </w:footnote>
  <w:footnote w:id="210">
    <w:p w:rsidR="00DD2A3A" w:rsidRDefault="00DD2A3A" w:rsidP="007159E0">
      <w:pPr>
        <w:pStyle w:val="FootnoteText"/>
      </w:pPr>
      <w:r>
        <w:rPr>
          <w:rStyle w:val="FootnoteReference"/>
        </w:rPr>
        <w:footnoteRef/>
      </w:r>
      <w:r>
        <w:t xml:space="preserve"> 5 U.S.C.</w:t>
      </w:r>
      <w:r>
        <w:rPr>
          <w:spacing w:val="-2"/>
        </w:rPr>
        <w:t xml:space="preserve"> §</w:t>
      </w:r>
      <w:r>
        <w:t xml:space="preserve"> 603(a).</w:t>
      </w:r>
    </w:p>
  </w:footnote>
  <w:footnote w:id="211">
    <w:p w:rsidR="00DD2A3A" w:rsidRDefault="00DD2A3A" w:rsidP="007159E0">
      <w:pPr>
        <w:pStyle w:val="FootnoteText"/>
      </w:pPr>
      <w:r>
        <w:rPr>
          <w:rStyle w:val="FootnoteReference"/>
        </w:rPr>
        <w:footnoteRef/>
      </w:r>
      <w:r>
        <w:t xml:space="preserve"> </w:t>
      </w:r>
      <w:r w:rsidRPr="00820DF8">
        <w:rPr>
          <w:i/>
        </w:rPr>
        <w:t>Id.</w:t>
      </w:r>
    </w:p>
  </w:footnote>
  <w:footnote w:id="212">
    <w:p w:rsidR="00DD2A3A" w:rsidRDefault="00DD2A3A" w:rsidP="007159E0">
      <w:pPr>
        <w:pStyle w:val="FootnoteText"/>
      </w:pPr>
      <w:r>
        <w:rPr>
          <w:rStyle w:val="FootnoteReference"/>
        </w:rPr>
        <w:footnoteRef/>
      </w:r>
      <w:r>
        <w:t xml:space="preserve"> 47 U.S.C. </w:t>
      </w:r>
      <w:r>
        <w:rPr>
          <w:rStyle w:val="Footnote"/>
        </w:rPr>
        <w:t xml:space="preserve">§§ </w:t>
      </w:r>
      <w:r>
        <w:t>154(i) and (j), 159, and 303(r).</w:t>
      </w:r>
    </w:p>
  </w:footnote>
  <w:footnote w:id="213">
    <w:p w:rsidR="00DD2A3A" w:rsidRDefault="00DD2A3A" w:rsidP="003B5035">
      <w:pPr>
        <w:pStyle w:val="FootnoteText"/>
      </w:pPr>
      <w:r>
        <w:rPr>
          <w:rStyle w:val="FootnoteReference"/>
        </w:rPr>
        <w:footnoteRef/>
      </w:r>
      <w:r>
        <w:t xml:space="preserve"> </w:t>
      </w:r>
      <w:r>
        <w:rPr>
          <w:rStyle w:val="Footnote"/>
        </w:rPr>
        <w:t>5 U.S.C. § 603(b)(3).</w:t>
      </w:r>
    </w:p>
  </w:footnote>
  <w:footnote w:id="214">
    <w:p w:rsidR="00DD2A3A" w:rsidRDefault="00DD2A3A" w:rsidP="003B5035">
      <w:pPr>
        <w:pStyle w:val="FootnoteText"/>
      </w:pPr>
      <w:r>
        <w:rPr>
          <w:rStyle w:val="FootnoteReference"/>
        </w:rPr>
        <w:footnoteRef/>
      </w:r>
      <w:r>
        <w:t xml:space="preserve"> </w:t>
      </w:r>
      <w:r>
        <w:rPr>
          <w:rStyle w:val="Footnote"/>
        </w:rPr>
        <w:t>5 U.S.C. § 601(6).</w:t>
      </w:r>
    </w:p>
  </w:footnote>
  <w:footnote w:id="215">
    <w:p w:rsidR="00DD2A3A" w:rsidRDefault="00DD2A3A" w:rsidP="003B5035">
      <w:pPr>
        <w:pStyle w:val="FootnoteText"/>
      </w:pPr>
      <w:r>
        <w:rPr>
          <w:rStyle w:val="FootnoteReference"/>
        </w:rPr>
        <w:footnoteRef/>
      </w:r>
      <w:r>
        <w:t xml:space="preserve"> </w:t>
      </w:r>
      <w:r>
        <w:rPr>
          <w:rStyle w:val="Footnote"/>
        </w:rP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w:t>
      </w:r>
      <w:r w:rsidRPr="00357400">
        <w:t xml:space="preserve"> </w:t>
      </w:r>
      <w:r>
        <w:rPr>
          <w:rStyle w:val="Footnote"/>
        </w:rPr>
        <w:t>for public comment, establishes one or more definitions of such term which are appropriate to the activities of the agency and publishes such definition(s) in the Federal Register.”</w:t>
      </w:r>
    </w:p>
  </w:footnote>
  <w:footnote w:id="216">
    <w:p w:rsidR="00DD2A3A" w:rsidRDefault="00DD2A3A" w:rsidP="003B5035">
      <w:pPr>
        <w:pStyle w:val="FootnoteText"/>
      </w:pPr>
      <w:r>
        <w:rPr>
          <w:rStyle w:val="FootnoteReference"/>
        </w:rPr>
        <w:footnoteRef/>
      </w:r>
      <w:r>
        <w:t xml:space="preserve"> </w:t>
      </w:r>
      <w:r>
        <w:rPr>
          <w:rStyle w:val="Footnote"/>
        </w:rPr>
        <w:t>15 U.S.C. § 632.</w:t>
      </w:r>
    </w:p>
  </w:footnote>
  <w:footnote w:id="217">
    <w:p w:rsidR="00DD2A3A" w:rsidRDefault="00DD2A3A" w:rsidP="003B5035">
      <w:pPr>
        <w:pStyle w:val="FootnoteText"/>
      </w:pPr>
      <w:r>
        <w:rPr>
          <w:rStyle w:val="FootnoteReference"/>
        </w:rPr>
        <w:footnoteRef/>
      </w:r>
      <w:r>
        <w:t xml:space="preserve"> </w:t>
      </w:r>
      <w:r w:rsidRPr="005A3505">
        <w:rPr>
          <w:i/>
        </w:rPr>
        <w:t>See</w:t>
      </w:r>
      <w:r w:rsidRPr="005A3505">
        <w:t xml:space="preserve"> SBA, Office of Advocacy, “Frequently Asked Questions,” </w:t>
      </w:r>
      <w:hyperlink r:id="rId11" w:history="1">
        <w:r w:rsidRPr="00C31A4B">
          <w:rPr>
            <w:rStyle w:val="Hyperlink"/>
          </w:rPr>
          <w:t>http://www.sba.gov/sites/default/files/FAQ_Sept_2012.pdf.</w:t>
        </w:r>
      </w:hyperlink>
    </w:p>
  </w:footnote>
  <w:footnote w:id="218">
    <w:p w:rsidR="00DD2A3A" w:rsidRDefault="00DD2A3A" w:rsidP="003B5035">
      <w:pPr>
        <w:pStyle w:val="FootnoteText"/>
      </w:pPr>
      <w:r>
        <w:rPr>
          <w:rStyle w:val="FootnoteReference"/>
        </w:rPr>
        <w:footnoteRef/>
      </w:r>
      <w:r>
        <w:t xml:space="preserve"> </w:t>
      </w:r>
      <w:r w:rsidRPr="00751F6C">
        <w:rPr>
          <w:i/>
        </w:rPr>
        <w:t>See id.</w:t>
      </w:r>
    </w:p>
  </w:footnote>
  <w:footnote w:id="219">
    <w:p w:rsidR="00DD2A3A" w:rsidRDefault="00DD2A3A" w:rsidP="003B5035">
      <w:pPr>
        <w:pStyle w:val="FootnoteText"/>
      </w:pPr>
      <w:r>
        <w:rPr>
          <w:rStyle w:val="FootnoteReference"/>
        </w:rPr>
        <w:footnoteRef/>
      </w:r>
      <w:r>
        <w:t xml:space="preserve"> </w:t>
      </w:r>
      <w:r w:rsidRPr="00D15B65">
        <w:rPr>
          <w:rStyle w:val="Footnote"/>
        </w:rPr>
        <w:t>13 C.F.R. § 121.201, NAICS code 517110</w:t>
      </w:r>
      <w:r>
        <w:rPr>
          <w:rStyle w:val="Footnote"/>
        </w:rPr>
        <w:t>.</w:t>
      </w:r>
    </w:p>
  </w:footnote>
  <w:footnote w:id="220">
    <w:p w:rsidR="00DD2A3A" w:rsidRDefault="00DD2A3A" w:rsidP="003B5035">
      <w:pPr>
        <w:pStyle w:val="FootnoteText"/>
      </w:pPr>
      <w:r>
        <w:rPr>
          <w:rStyle w:val="FootnoteReference"/>
        </w:rPr>
        <w:footnoteRef/>
      </w:r>
      <w:r>
        <w:t xml:space="preserve"> </w:t>
      </w:r>
      <w:r w:rsidRPr="00280043">
        <w:rPr>
          <w:i/>
        </w:rPr>
        <w:t>See id.</w:t>
      </w:r>
    </w:p>
  </w:footnote>
  <w:footnote w:id="221">
    <w:p w:rsidR="00DD2A3A" w:rsidRDefault="00DD2A3A" w:rsidP="003B5035">
      <w:pPr>
        <w:pStyle w:val="FootnoteText"/>
      </w:pPr>
      <w:r>
        <w:rPr>
          <w:rStyle w:val="FootnoteReference"/>
        </w:rPr>
        <w:footnoteRef/>
      </w:r>
      <w:r>
        <w:t xml:space="preserve"> </w:t>
      </w:r>
      <w:r w:rsidRPr="00D15B65">
        <w:rPr>
          <w:rStyle w:val="Footnote"/>
        </w:rPr>
        <w:t>13 C.F.R. § 121.201, NAICS code 517110</w:t>
      </w:r>
      <w:r>
        <w:rPr>
          <w:rStyle w:val="Footnote"/>
        </w:rPr>
        <w:t>.</w:t>
      </w:r>
    </w:p>
  </w:footnote>
  <w:footnote w:id="222">
    <w:p w:rsidR="00DD2A3A" w:rsidRDefault="00DD2A3A" w:rsidP="003B5035">
      <w:pPr>
        <w:pStyle w:val="FootnoteText"/>
      </w:pPr>
      <w:r>
        <w:rPr>
          <w:rStyle w:val="FootnoteReference"/>
        </w:rPr>
        <w:footnoteRef/>
      </w:r>
      <w:r>
        <w:t xml:space="preserve"> </w:t>
      </w:r>
      <w:r w:rsidRPr="00D15B65">
        <w:rPr>
          <w:i/>
        </w:rPr>
        <w:t>See Trends in Telephone Service</w:t>
      </w:r>
      <w:r w:rsidRPr="00D15B65">
        <w:t>, Federal Communications Commission, Wireline Competition Bureau, Industry Analysis and Technology Divis</w:t>
      </w:r>
      <w:r>
        <w:t>ion at Table 5.3 (Sept. 2010) (</w:t>
      </w:r>
      <w:r w:rsidRPr="00D15B65">
        <w:rPr>
          <w:i/>
        </w:rPr>
        <w:t>Trends in Telephone Service</w:t>
      </w:r>
      <w:r w:rsidRPr="00D15B65">
        <w:t>).</w:t>
      </w:r>
    </w:p>
  </w:footnote>
  <w:footnote w:id="223">
    <w:p w:rsidR="00DD2A3A" w:rsidRDefault="00DD2A3A" w:rsidP="003B5035">
      <w:pPr>
        <w:pStyle w:val="FootnoteText"/>
      </w:pPr>
      <w:r>
        <w:rPr>
          <w:rStyle w:val="FootnoteReference"/>
        </w:rPr>
        <w:footnoteRef/>
      </w:r>
      <w:r>
        <w:t xml:space="preserve"> </w:t>
      </w:r>
      <w:r w:rsidRPr="00007763">
        <w:rPr>
          <w:i/>
        </w:rPr>
        <w:t>Id.</w:t>
      </w:r>
    </w:p>
  </w:footnote>
  <w:footnote w:id="224">
    <w:p w:rsidR="00DD2A3A" w:rsidRDefault="00DD2A3A" w:rsidP="003B5035">
      <w:pPr>
        <w:pStyle w:val="FootnoteText"/>
      </w:pPr>
      <w:r>
        <w:rPr>
          <w:rStyle w:val="FootnoteReference"/>
        </w:rPr>
        <w:footnoteRef/>
      </w:r>
      <w:r>
        <w:t xml:space="preserve"> </w:t>
      </w:r>
      <w:r>
        <w:rPr>
          <w:rStyle w:val="FootnoteTextChar4"/>
        </w:rPr>
        <w:t>13 C.F.R. § 121.201, NAICS code 517110.</w:t>
      </w:r>
    </w:p>
  </w:footnote>
  <w:footnote w:id="225">
    <w:p w:rsidR="00DD2A3A" w:rsidRDefault="00DD2A3A" w:rsidP="003B5035">
      <w:pPr>
        <w:pStyle w:val="FootnoteText"/>
      </w:pPr>
      <w:r>
        <w:rPr>
          <w:rStyle w:val="FootnoteReference"/>
        </w:rPr>
        <w:footnoteRef/>
      </w:r>
      <w:r>
        <w:t xml:space="preserve"> </w:t>
      </w:r>
      <w:r>
        <w:rPr>
          <w:i/>
        </w:rPr>
        <w:t>See Trends in Telephone Service,</w:t>
      </w:r>
      <w:r>
        <w:t xml:space="preserve"> at tbl. 5.3.</w:t>
      </w:r>
    </w:p>
  </w:footnote>
  <w:footnote w:id="226">
    <w:p w:rsidR="00DD2A3A" w:rsidRDefault="00DD2A3A" w:rsidP="003B5035">
      <w:pPr>
        <w:pStyle w:val="FootnoteText"/>
      </w:pPr>
      <w:r>
        <w:rPr>
          <w:rStyle w:val="FootnoteReference"/>
        </w:rPr>
        <w:footnoteRef/>
      </w:r>
      <w:r>
        <w:t xml:space="preserve"> </w:t>
      </w:r>
      <w:r>
        <w:rPr>
          <w:i/>
        </w:rPr>
        <w:t>I</w:t>
      </w:r>
      <w:r w:rsidRPr="00F71FA2">
        <w:rPr>
          <w:i/>
        </w:rPr>
        <w:t>d.</w:t>
      </w:r>
    </w:p>
  </w:footnote>
  <w:footnote w:id="227">
    <w:p w:rsidR="00DD2A3A" w:rsidRDefault="00DD2A3A" w:rsidP="003B5035">
      <w:pPr>
        <w:pStyle w:val="FootnoteText"/>
      </w:pPr>
      <w:r>
        <w:rPr>
          <w:rStyle w:val="FootnoteReference"/>
        </w:rPr>
        <w:footnoteRef/>
      </w:r>
      <w:r>
        <w:t xml:space="preserve"> </w:t>
      </w:r>
      <w:r w:rsidRPr="00C71B0F">
        <w:rPr>
          <w:i/>
        </w:rPr>
        <w:t>Id.</w:t>
      </w:r>
    </w:p>
  </w:footnote>
  <w:footnote w:id="228">
    <w:p w:rsidR="00DD2A3A" w:rsidRDefault="00DD2A3A" w:rsidP="003B5035">
      <w:pPr>
        <w:pStyle w:val="FootnoteText"/>
      </w:pPr>
      <w:r>
        <w:rPr>
          <w:rStyle w:val="FootnoteReference"/>
        </w:rPr>
        <w:footnoteRef/>
      </w:r>
      <w:r>
        <w:t xml:space="preserve"> </w:t>
      </w:r>
      <w:r w:rsidRPr="00C71B0F">
        <w:rPr>
          <w:i/>
        </w:rPr>
        <w:t>Id.</w:t>
      </w:r>
    </w:p>
  </w:footnote>
  <w:footnote w:id="229">
    <w:p w:rsidR="00DD2A3A" w:rsidRDefault="00DD2A3A" w:rsidP="003B5035">
      <w:pPr>
        <w:pStyle w:val="FootnoteText"/>
      </w:pPr>
      <w:r>
        <w:rPr>
          <w:rStyle w:val="FootnoteReference"/>
        </w:rPr>
        <w:footnoteRef/>
      </w:r>
      <w:r>
        <w:t xml:space="preserve"> </w:t>
      </w:r>
      <w:r w:rsidRPr="00C71B0F">
        <w:rPr>
          <w:i/>
        </w:rPr>
        <w:t>Id.</w:t>
      </w:r>
    </w:p>
  </w:footnote>
  <w:footnote w:id="230">
    <w:p w:rsidR="00DD2A3A" w:rsidRDefault="00DD2A3A" w:rsidP="003B5035">
      <w:pPr>
        <w:pStyle w:val="FootnoteText"/>
      </w:pPr>
      <w:r>
        <w:rPr>
          <w:rStyle w:val="FootnoteReference"/>
        </w:rPr>
        <w:footnoteRef/>
      </w:r>
      <w:r>
        <w:t xml:space="preserve"> </w:t>
      </w:r>
      <w:r>
        <w:rPr>
          <w:color w:val="000000"/>
        </w:rPr>
        <w:t>13 C.F.R. § 121.201, NAICS code 517110.</w:t>
      </w:r>
    </w:p>
  </w:footnote>
  <w:footnote w:id="231">
    <w:p w:rsidR="00DD2A3A" w:rsidRDefault="00DD2A3A" w:rsidP="003B5035">
      <w:pPr>
        <w:pStyle w:val="FootnoteText"/>
      </w:pPr>
      <w:r>
        <w:rPr>
          <w:rStyle w:val="FootnoteReference"/>
        </w:rPr>
        <w:footnoteRef/>
      </w:r>
      <w:r>
        <w:t xml:space="preserve"> </w:t>
      </w:r>
      <w:r>
        <w:rPr>
          <w:i/>
        </w:rPr>
        <w:t>See Trends in Telephone Service,</w:t>
      </w:r>
      <w:r>
        <w:t xml:space="preserve"> at tbl. 5.3.</w:t>
      </w:r>
    </w:p>
  </w:footnote>
  <w:footnote w:id="232">
    <w:p w:rsidR="00DD2A3A" w:rsidRDefault="00DD2A3A" w:rsidP="003B5035">
      <w:pPr>
        <w:pStyle w:val="FootnoteText"/>
      </w:pPr>
      <w:r>
        <w:rPr>
          <w:rStyle w:val="FootnoteReference"/>
        </w:rPr>
        <w:footnoteRef/>
      </w:r>
      <w:r>
        <w:t xml:space="preserve"> </w:t>
      </w:r>
      <w:r w:rsidRPr="0026657E">
        <w:rPr>
          <w:i/>
        </w:rPr>
        <w:t>Id.</w:t>
      </w:r>
    </w:p>
  </w:footnote>
  <w:footnote w:id="233">
    <w:p w:rsidR="00DD2A3A" w:rsidRDefault="00DD2A3A" w:rsidP="003B5035">
      <w:pPr>
        <w:pStyle w:val="FootnoteText"/>
      </w:pPr>
      <w:r>
        <w:rPr>
          <w:rStyle w:val="FootnoteReference"/>
        </w:rPr>
        <w:footnoteRef/>
      </w:r>
      <w:r>
        <w:t xml:space="preserve"> </w:t>
      </w:r>
      <w:r>
        <w:rPr>
          <w:color w:val="000000"/>
        </w:rPr>
        <w:t>13 C.F.R. § 121.201, NAICS code 517911.</w:t>
      </w:r>
    </w:p>
  </w:footnote>
  <w:footnote w:id="234">
    <w:p w:rsidR="00DD2A3A" w:rsidRDefault="00DD2A3A" w:rsidP="003B5035">
      <w:pPr>
        <w:pStyle w:val="FootnoteText"/>
      </w:pPr>
      <w:r>
        <w:rPr>
          <w:rStyle w:val="FootnoteReference"/>
        </w:rPr>
        <w:footnoteRef/>
      </w:r>
      <w:r>
        <w:t xml:space="preserve"> </w:t>
      </w:r>
      <w:r w:rsidRPr="00860117">
        <w:rPr>
          <w:i/>
        </w:rPr>
        <w:t>Id.</w:t>
      </w:r>
    </w:p>
  </w:footnote>
  <w:footnote w:id="235">
    <w:p w:rsidR="00DD2A3A" w:rsidRDefault="00DD2A3A" w:rsidP="003B5035">
      <w:pPr>
        <w:pStyle w:val="FootnoteText"/>
      </w:pPr>
      <w:r>
        <w:rPr>
          <w:rStyle w:val="FootnoteReference"/>
        </w:rPr>
        <w:footnoteRef/>
      </w:r>
      <w:r>
        <w:t xml:space="preserve"> </w:t>
      </w:r>
      <w:r>
        <w:rPr>
          <w:i/>
        </w:rPr>
        <w:t>See Trends in Telephone Service,</w:t>
      </w:r>
      <w:r>
        <w:t xml:space="preserve"> at tbl. 5.3.</w:t>
      </w:r>
    </w:p>
  </w:footnote>
  <w:footnote w:id="236">
    <w:p w:rsidR="00DD2A3A" w:rsidRDefault="00DD2A3A" w:rsidP="003B5035">
      <w:pPr>
        <w:pStyle w:val="FootnoteText"/>
      </w:pPr>
      <w:r>
        <w:rPr>
          <w:rStyle w:val="FootnoteReference"/>
        </w:rPr>
        <w:footnoteRef/>
      </w:r>
      <w:r>
        <w:t xml:space="preserve"> </w:t>
      </w:r>
      <w:r w:rsidRPr="00860117">
        <w:rPr>
          <w:i/>
        </w:rPr>
        <w:t>Id.</w:t>
      </w:r>
    </w:p>
  </w:footnote>
  <w:footnote w:id="237">
    <w:p w:rsidR="00DD2A3A" w:rsidRDefault="00DD2A3A" w:rsidP="003B5035">
      <w:pPr>
        <w:pStyle w:val="FootnoteText"/>
      </w:pPr>
      <w:r>
        <w:rPr>
          <w:rStyle w:val="FootnoteReference"/>
        </w:rPr>
        <w:footnoteRef/>
      </w:r>
      <w:r>
        <w:t xml:space="preserve"> </w:t>
      </w:r>
      <w:r>
        <w:rPr>
          <w:color w:val="000000"/>
        </w:rPr>
        <w:t>13 C.F.R. § 121.201, NAICS code 517911.</w:t>
      </w:r>
    </w:p>
  </w:footnote>
  <w:footnote w:id="238">
    <w:p w:rsidR="00DD2A3A" w:rsidRDefault="00DD2A3A" w:rsidP="003B5035">
      <w:pPr>
        <w:pStyle w:val="FootnoteText"/>
      </w:pPr>
      <w:r>
        <w:rPr>
          <w:rStyle w:val="FootnoteReference"/>
        </w:rPr>
        <w:footnoteRef/>
      </w:r>
      <w:r>
        <w:t xml:space="preserve"> </w:t>
      </w:r>
      <w:r w:rsidRPr="009567E6">
        <w:rPr>
          <w:i/>
        </w:rPr>
        <w:t>Id.</w:t>
      </w:r>
    </w:p>
  </w:footnote>
  <w:footnote w:id="239">
    <w:p w:rsidR="00DD2A3A" w:rsidRDefault="00DD2A3A" w:rsidP="003B5035">
      <w:pPr>
        <w:pStyle w:val="FootnoteText"/>
      </w:pPr>
      <w:r>
        <w:rPr>
          <w:rStyle w:val="FootnoteReference"/>
        </w:rPr>
        <w:footnoteRef/>
      </w:r>
      <w:r>
        <w:t xml:space="preserve"> </w:t>
      </w:r>
      <w:r>
        <w:rPr>
          <w:i/>
          <w:color w:val="000000"/>
        </w:rPr>
        <w:t>See Trends in Telephone Service,</w:t>
      </w:r>
      <w:r>
        <w:rPr>
          <w:color w:val="000000"/>
        </w:rPr>
        <w:t xml:space="preserve"> at tbl. 5.3.  </w:t>
      </w:r>
    </w:p>
  </w:footnote>
  <w:footnote w:id="240">
    <w:p w:rsidR="00DD2A3A" w:rsidRDefault="00DD2A3A" w:rsidP="003B5035">
      <w:pPr>
        <w:pStyle w:val="FootnoteText"/>
      </w:pPr>
      <w:r>
        <w:rPr>
          <w:rStyle w:val="FootnoteReference"/>
        </w:rPr>
        <w:footnoteRef/>
      </w:r>
      <w:r>
        <w:t xml:space="preserve"> </w:t>
      </w:r>
      <w:r w:rsidRPr="00E024DD">
        <w:rPr>
          <w:i/>
        </w:rPr>
        <w:t>Id.</w:t>
      </w:r>
    </w:p>
  </w:footnote>
  <w:footnote w:id="241">
    <w:p w:rsidR="00DD2A3A" w:rsidRDefault="00DD2A3A" w:rsidP="003B5035">
      <w:pPr>
        <w:pStyle w:val="FootnoteText"/>
      </w:pPr>
      <w:r>
        <w:rPr>
          <w:rStyle w:val="FootnoteReference"/>
        </w:rPr>
        <w:footnoteRef/>
      </w:r>
      <w:r>
        <w:t xml:space="preserve"> </w:t>
      </w:r>
      <w:r>
        <w:rPr>
          <w:color w:val="000000"/>
        </w:rPr>
        <w:t>13 C.F.R. § 121.201, NAICS code 517911.</w:t>
      </w:r>
    </w:p>
  </w:footnote>
  <w:footnote w:id="242">
    <w:p w:rsidR="00DD2A3A" w:rsidRDefault="00DD2A3A" w:rsidP="003B5035">
      <w:pPr>
        <w:pStyle w:val="FootnoteText"/>
      </w:pPr>
      <w:r>
        <w:rPr>
          <w:rStyle w:val="FootnoteReference"/>
        </w:rPr>
        <w:footnoteRef/>
      </w:r>
      <w:r>
        <w:t xml:space="preserve"> </w:t>
      </w:r>
      <w:r w:rsidRPr="004076C3">
        <w:rPr>
          <w:i/>
        </w:rPr>
        <w:t>Id.</w:t>
      </w:r>
    </w:p>
  </w:footnote>
  <w:footnote w:id="243">
    <w:p w:rsidR="00DD2A3A" w:rsidRDefault="00DD2A3A" w:rsidP="003B5035">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244">
    <w:p w:rsidR="00DD2A3A" w:rsidRDefault="00DD2A3A" w:rsidP="003B5035">
      <w:pPr>
        <w:pStyle w:val="FootnoteText"/>
      </w:pPr>
      <w:r>
        <w:rPr>
          <w:rStyle w:val="FootnoteReference"/>
        </w:rPr>
        <w:footnoteRef/>
      </w:r>
      <w:r>
        <w:t xml:space="preserve"> </w:t>
      </w:r>
      <w:r w:rsidRPr="00E52E8F">
        <w:rPr>
          <w:i/>
        </w:rPr>
        <w:t>Id.</w:t>
      </w:r>
    </w:p>
  </w:footnote>
  <w:footnote w:id="245">
    <w:p w:rsidR="00DD2A3A" w:rsidRDefault="00DD2A3A" w:rsidP="003B5035">
      <w:pPr>
        <w:pStyle w:val="FootnoteText"/>
      </w:pPr>
      <w:r>
        <w:rPr>
          <w:rStyle w:val="FootnoteReference"/>
        </w:rPr>
        <w:footnoteRef/>
      </w:r>
      <w:r>
        <w:t xml:space="preserve"> </w:t>
      </w:r>
      <w:r>
        <w:rPr>
          <w:color w:val="000000"/>
        </w:rPr>
        <w:t>13 C.F.R. § 121.201, NAICS code 517110.</w:t>
      </w:r>
    </w:p>
  </w:footnote>
  <w:footnote w:id="246">
    <w:p w:rsidR="00DD2A3A" w:rsidRDefault="00DD2A3A" w:rsidP="003B5035">
      <w:pPr>
        <w:pStyle w:val="FootnoteText"/>
      </w:pPr>
      <w:r>
        <w:rPr>
          <w:rStyle w:val="FootnoteReference"/>
        </w:rPr>
        <w:footnoteRef/>
      </w:r>
      <w:r>
        <w:t xml:space="preserve"> </w:t>
      </w:r>
      <w:r w:rsidRPr="00235678">
        <w:rPr>
          <w:i/>
        </w:rPr>
        <w:t>Id.</w:t>
      </w:r>
    </w:p>
  </w:footnote>
  <w:footnote w:id="247">
    <w:p w:rsidR="00DD2A3A" w:rsidRDefault="00DD2A3A" w:rsidP="003B5035">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248">
    <w:p w:rsidR="00DD2A3A" w:rsidRDefault="00DD2A3A" w:rsidP="003B5035">
      <w:pPr>
        <w:pStyle w:val="FootnoteText"/>
      </w:pPr>
      <w:r>
        <w:rPr>
          <w:rStyle w:val="FootnoteReference"/>
        </w:rPr>
        <w:footnoteRef/>
      </w:r>
      <w:r>
        <w:t xml:space="preserve"> </w:t>
      </w:r>
      <w:r w:rsidRPr="00B605CD">
        <w:rPr>
          <w:i/>
        </w:rPr>
        <w:t>Id.</w:t>
      </w:r>
    </w:p>
  </w:footnote>
  <w:footnote w:id="249">
    <w:p w:rsidR="00DD2A3A" w:rsidRDefault="00DD2A3A" w:rsidP="003B5035">
      <w:pPr>
        <w:pStyle w:val="FootnoteText"/>
      </w:pPr>
      <w:r>
        <w:rPr>
          <w:rStyle w:val="FootnoteReference"/>
        </w:rPr>
        <w:footnoteRef/>
      </w:r>
      <w:r>
        <w:t xml:space="preserve"> </w:t>
      </w:r>
      <w:r>
        <w:rPr>
          <w:color w:val="000000"/>
        </w:rPr>
        <w:t>13 C.F.R. § 121.201, NAICS code 517210.</w:t>
      </w:r>
    </w:p>
  </w:footnote>
  <w:footnote w:id="250">
    <w:p w:rsidR="00DD2A3A" w:rsidRDefault="00DD2A3A" w:rsidP="003B5035">
      <w:pPr>
        <w:pStyle w:val="FootnoteText"/>
      </w:pPr>
      <w:r>
        <w:rPr>
          <w:rStyle w:val="FootnoteReference"/>
        </w:rPr>
        <w:footnoteRef/>
      </w:r>
      <w:r>
        <w:t xml:space="preserve"> U.S. Census Bureau, 2002 NAICS Definitions, “517211 Paging,” available at </w:t>
      </w:r>
      <w:hyperlink r:id="rId12" w:history="1">
        <w:r w:rsidRPr="006B6A44">
          <w:rPr>
            <w:rStyle w:val="Hyperlink"/>
          </w:rPr>
          <w:t>http://www.census.gov/cgibin/ sssd/naics/naicsrch?code=517211&amp;search=2002%20NAICS%20Search</w:t>
        </w:r>
      </w:hyperlink>
      <w:r>
        <w:t xml:space="preserve">; U.S. Census Bureau, 2002 NAICS Definitions, “517212 Cellular and Other Wireless Telecommunications,” available at </w:t>
      </w:r>
      <w:hyperlink r:id="rId13" w:history="1">
        <w:r w:rsidRPr="006B6A44">
          <w:rPr>
            <w:rStyle w:val="Hyperlink"/>
          </w:rPr>
          <w:t>http://www.census.gov/cgi-bin/sssd/naics/naicsrch?code=517212&amp;search=2002%20NAICS%20Search</w:t>
        </w:r>
      </w:hyperlink>
      <w:r>
        <w:t>.</w:t>
      </w:r>
    </w:p>
  </w:footnote>
  <w:footnote w:id="251">
    <w:p w:rsidR="00DD2A3A" w:rsidRDefault="00DD2A3A" w:rsidP="003B5035">
      <w:pPr>
        <w:pStyle w:val="FootnoteText"/>
      </w:pPr>
      <w:r>
        <w:rPr>
          <w:rStyle w:val="FootnoteReference"/>
        </w:rPr>
        <w:footnoteRef/>
      </w:r>
      <w:r>
        <w:t xml:space="preserve"> 13 C.F.R. § 121.201, NAICS code 517210. The now-superseded, pre-2007 C.F.R. citations were 13 C.F.R. § 121.201, NAICS codes 517211 and 517212 (referring to the 2002 NAICS).</w:t>
      </w:r>
    </w:p>
  </w:footnote>
  <w:footnote w:id="252">
    <w:p w:rsidR="00DD2A3A" w:rsidRDefault="00DD2A3A" w:rsidP="003B5035">
      <w:pPr>
        <w:pStyle w:val="FootnoteText"/>
      </w:pPr>
      <w:r>
        <w:rPr>
          <w:rStyle w:val="FootnoteReference"/>
        </w:rPr>
        <w:footnoteRef/>
      </w:r>
      <w:r>
        <w:t xml:space="preserve"> U.S. Census Bureau, Subject Series: Information, Table 5, “Establishment and Firm Size: Employment Size of Firms for the United States: 2007 NAICS Code 517210” (issued Nov. 2010).</w:t>
      </w:r>
    </w:p>
  </w:footnote>
  <w:footnote w:id="253">
    <w:p w:rsidR="00DD2A3A" w:rsidRDefault="00DD2A3A" w:rsidP="003B5035">
      <w:pPr>
        <w:pStyle w:val="FootnoteText"/>
      </w:pPr>
      <w:r>
        <w:rPr>
          <w:rStyle w:val="FootnoteReference"/>
        </w:rPr>
        <w:footnoteRef/>
      </w:r>
      <w:r>
        <w:t xml:space="preserve"> </w:t>
      </w:r>
      <w:r w:rsidRPr="00005C93">
        <w:rPr>
          <w:i/>
        </w:rPr>
        <w:t>Id.</w:t>
      </w:r>
      <w:r>
        <w:t xml:space="preserve"> Available census data do not provide a more precise estimate of the number of firms that have employment of 1,500 or fewer employees; the largest category provided is for firms with “100 employees or more.”</w:t>
      </w:r>
    </w:p>
  </w:footnote>
  <w:footnote w:id="254">
    <w:p w:rsidR="00DD2A3A" w:rsidRDefault="00DD2A3A" w:rsidP="003B5035">
      <w:pPr>
        <w:pStyle w:val="FootnoteText"/>
      </w:pPr>
      <w:r>
        <w:rPr>
          <w:rStyle w:val="FootnoteReference"/>
        </w:rPr>
        <w:footnoteRef/>
      </w:r>
      <w:r>
        <w:t xml:space="preserve"> </w:t>
      </w:r>
      <w:r w:rsidRPr="00CB2DF4">
        <w:rPr>
          <w:rFonts w:ascii="Times New Roman Italic" w:hAnsi="Times New Roman Italic"/>
          <w:i/>
        </w:rPr>
        <w:t>Trends in Telephone Service</w:t>
      </w:r>
      <w:r>
        <w:t>, at tbl.</w:t>
      </w:r>
      <w:r>
        <w:rPr>
          <w:color w:val="000000"/>
        </w:rPr>
        <w:t xml:space="preserve"> 5.3.</w:t>
      </w:r>
    </w:p>
  </w:footnote>
  <w:footnote w:id="255">
    <w:p w:rsidR="00DD2A3A" w:rsidRDefault="00DD2A3A" w:rsidP="003B5035">
      <w:pPr>
        <w:pStyle w:val="FootnoteText"/>
      </w:pPr>
      <w:r>
        <w:rPr>
          <w:rStyle w:val="FootnoteReference"/>
        </w:rPr>
        <w:footnoteRef/>
      </w:r>
      <w:r>
        <w:t xml:space="preserve"> </w:t>
      </w:r>
      <w:r w:rsidRPr="00233E31">
        <w:rPr>
          <w:i/>
        </w:rPr>
        <w:t>Id.</w:t>
      </w:r>
    </w:p>
  </w:footnote>
  <w:footnote w:id="256">
    <w:p w:rsidR="00DD2A3A" w:rsidRDefault="00DD2A3A" w:rsidP="003B5035">
      <w:pPr>
        <w:pStyle w:val="FootnoteText"/>
      </w:pPr>
      <w:r>
        <w:rPr>
          <w:rStyle w:val="FootnoteReference"/>
        </w:rPr>
        <w:footnoteRef/>
      </w:r>
      <w:r>
        <w:t xml:space="preserve"> U.S. Census Bureau, 2007 NAICS Definitions, “517110 Wired Telecommunications Carriers” (partial definition), available at </w:t>
      </w:r>
      <w:hyperlink r:id="rId14" w:history="1">
        <w:r w:rsidRPr="003D56E0">
          <w:rPr>
            <w:rStyle w:val="Hyperlink"/>
          </w:rPr>
          <w:t>http://www.census.gov/cgi-bin/sssd/naics/naicsrch?code=517110&amp;search=2007%20NAICS%20Search</w:t>
        </w:r>
      </w:hyperlink>
      <w:r>
        <w:t>.</w:t>
      </w:r>
    </w:p>
  </w:footnote>
  <w:footnote w:id="257">
    <w:p w:rsidR="00DD2A3A" w:rsidRDefault="00DD2A3A" w:rsidP="003B5035">
      <w:pPr>
        <w:pStyle w:val="FootnoteText"/>
      </w:pPr>
      <w:r>
        <w:rPr>
          <w:rStyle w:val="FootnoteReference"/>
        </w:rPr>
        <w:footnoteRef/>
      </w:r>
      <w:r>
        <w:t xml:space="preserve"> </w:t>
      </w:r>
      <w:r>
        <w:rPr>
          <w:color w:val="000000"/>
        </w:rPr>
        <w:t>13 C.F.R. § 121.201, NAICS code 517110.</w:t>
      </w:r>
    </w:p>
  </w:footnote>
  <w:footnote w:id="258">
    <w:p w:rsidR="00DD2A3A" w:rsidRDefault="00DD2A3A" w:rsidP="003B5035">
      <w:pPr>
        <w:pStyle w:val="FootnoteText"/>
      </w:pPr>
      <w:r>
        <w:rPr>
          <w:rStyle w:val="FootnoteReference"/>
        </w:rPr>
        <w:footnoteRef/>
      </w:r>
      <w:r>
        <w:t xml:space="preserve"> </w:t>
      </w:r>
      <w:r w:rsidRPr="00FB045B">
        <w:rPr>
          <w:i/>
        </w:rPr>
        <w:t>See</w:t>
      </w:r>
      <w:r>
        <w:t xml:space="preserve"> 47 C.F.R. § 76.901(e). The Commission determined that this size standard equates approximately to a size standard of $100 million or less in annual revenues. </w:t>
      </w:r>
      <w:r w:rsidRPr="00FB045B">
        <w:rPr>
          <w:i/>
        </w:rPr>
        <w:t>See Implementation of Sections of the 1992 Cable Television Consumer Protection and Competition Act: Rate Regulation</w:t>
      </w:r>
      <w:r>
        <w:t>, MM Docket Nos. 92-266, 93-215, Sixth Report and Order and Eleventh Order on Reconsideration, 10 FCC Rcd 7393, 7408, para. 28 (1995).</w:t>
      </w:r>
    </w:p>
  </w:footnote>
  <w:footnote w:id="259">
    <w:p w:rsidR="00DD2A3A" w:rsidRDefault="00DD2A3A" w:rsidP="003B5035">
      <w:pPr>
        <w:pStyle w:val="FootnoteText"/>
      </w:pPr>
      <w:r>
        <w:rPr>
          <w:rStyle w:val="FootnoteReference"/>
        </w:rPr>
        <w:footnoteRef/>
      </w:r>
      <w:r>
        <w:t xml:space="preserve"> These data are derived from R.R. BOWKER, BROADCASTING &amp; CABLE YEARBOOK 2006, “Top 25 Cable/Satellite Operators,” pages A-8 &amp; C-2 (data current as of June 30, 2005); WARREN COMMUNICATIONS NEWS, TELEVISION &amp; CABLE FACTBOOK 2006, “Ownership of Cable Systems in the United States,” pages D-1805 to D-1857.</w:t>
      </w:r>
    </w:p>
  </w:footnote>
  <w:footnote w:id="260">
    <w:p w:rsidR="00DD2A3A" w:rsidRDefault="00DD2A3A" w:rsidP="003B5035">
      <w:pPr>
        <w:pStyle w:val="FootnoteText"/>
      </w:pPr>
      <w:r>
        <w:rPr>
          <w:rStyle w:val="FootnoteReference"/>
        </w:rPr>
        <w:footnoteRef/>
      </w:r>
      <w:r>
        <w:t xml:space="preserve"> </w:t>
      </w:r>
      <w:r w:rsidRPr="007C15AD">
        <w:rPr>
          <w:i/>
        </w:rPr>
        <w:t xml:space="preserve">See </w:t>
      </w:r>
      <w:r w:rsidRPr="007C15AD">
        <w:t>47 C.F.R. § 76.901(c).</w:t>
      </w:r>
    </w:p>
  </w:footnote>
  <w:footnote w:id="261">
    <w:p w:rsidR="00DD2A3A" w:rsidRDefault="00DD2A3A" w:rsidP="003B5035">
      <w:pPr>
        <w:pStyle w:val="FootnoteText"/>
      </w:pPr>
      <w:r>
        <w:rPr>
          <w:rStyle w:val="FootnoteReference"/>
        </w:rPr>
        <w:footnoteRef/>
      </w:r>
      <w:r>
        <w:t xml:space="preserve"> WARREN COMMUNICATIONS NEWS, TELEVISION &amp; CABLE FACTBOOK 2006, “U.S. Cable Systems by Subscriber Size,” page F-2 (data current as of Oct. 2007). The data do not include 851 systems for which classifying data were not available.</w:t>
      </w:r>
    </w:p>
  </w:footnote>
  <w:footnote w:id="262">
    <w:p w:rsidR="00DD2A3A" w:rsidRDefault="00DD2A3A" w:rsidP="003B5035">
      <w:pPr>
        <w:pStyle w:val="FootnoteText"/>
      </w:pPr>
      <w:r>
        <w:rPr>
          <w:rStyle w:val="FootnoteReference"/>
        </w:rPr>
        <w:footnoteRef/>
      </w:r>
      <w:r>
        <w:t xml:space="preserve"> U.S. Census Bureau, “2007 NAICS Definitions: 517919 All Other Telecommunications,” available at </w:t>
      </w:r>
      <w:hyperlink r:id="rId15" w:history="1">
        <w:r w:rsidRPr="00D33F9D">
          <w:rPr>
            <w:rStyle w:val="Hyperlink"/>
          </w:rPr>
          <w:t>http://www.census.gov/cgi-bin/sssd/naics/naicsrch?code=517919&amp;search=2007%20NAICS%20Search</w:t>
        </w:r>
      </w:hyperlink>
      <w:r>
        <w:t>.</w:t>
      </w:r>
    </w:p>
  </w:footnote>
  <w:footnote w:id="263">
    <w:p w:rsidR="00DD2A3A" w:rsidRDefault="00DD2A3A" w:rsidP="003B5035">
      <w:pPr>
        <w:pStyle w:val="FootnoteText"/>
      </w:pPr>
      <w:r>
        <w:rPr>
          <w:rStyle w:val="FootnoteReference"/>
        </w:rPr>
        <w:footnoteRef/>
      </w:r>
      <w:r>
        <w:t xml:space="preserve"> </w:t>
      </w:r>
      <w:r>
        <w:rPr>
          <w:color w:val="000000"/>
        </w:rPr>
        <w:t>13 C.F.R. § 121.201, NAICS code 517919.</w:t>
      </w:r>
    </w:p>
  </w:footnote>
  <w:footnote w:id="264">
    <w:p w:rsidR="00DD2A3A" w:rsidRDefault="00DD2A3A" w:rsidP="003B5035">
      <w:pPr>
        <w:pStyle w:val="FootnoteText"/>
      </w:pPr>
      <w:r>
        <w:rPr>
          <w:rStyle w:val="FootnoteReference"/>
        </w:rPr>
        <w:footnoteRef/>
      </w:r>
      <w:r>
        <w:t xml:space="preserve"> U.S. Census Bureau, 2007 Economic Census, Subject Series: Information, Table 4, “Establishment and Firm Size:  Receipts Size of Firms for the United States: 2007 NAICS Code 517919” (issued Nov. 2010).</w:t>
      </w:r>
    </w:p>
  </w:footnote>
  <w:footnote w:id="265">
    <w:p w:rsidR="00DD2A3A" w:rsidRDefault="00DD2A3A" w:rsidP="003B5035">
      <w:pPr>
        <w:pStyle w:val="FootnoteText"/>
      </w:pPr>
      <w:r>
        <w:rPr>
          <w:rStyle w:val="FootnoteReference"/>
        </w:rPr>
        <w:footnoteRef/>
      </w:r>
      <w:r>
        <w:t xml:space="preserve"> </w:t>
      </w:r>
      <w:r w:rsidRPr="001502DB">
        <w:rPr>
          <w:i/>
        </w:rPr>
        <w:t>Id.</w:t>
      </w:r>
    </w:p>
  </w:footnote>
  <w:footnote w:id="266">
    <w:p w:rsidR="00DD2A3A" w:rsidRDefault="00DD2A3A" w:rsidP="007159E0">
      <w:pPr>
        <w:pStyle w:val="FootnoteText"/>
      </w:pPr>
      <w:r>
        <w:rPr>
          <w:rStyle w:val="FootnoteReference"/>
        </w:rPr>
        <w:footnoteRef/>
      </w:r>
      <w:r>
        <w:t xml:space="preserve"> </w:t>
      </w:r>
      <w:r w:rsidRPr="00185ED3">
        <w:t>5 U.S.C. § 603(c)(1)–(c)(4).</w:t>
      </w:r>
    </w:p>
  </w:footnote>
  <w:footnote w:id="267">
    <w:p w:rsidR="00DD2A3A" w:rsidRDefault="00DD2A3A" w:rsidP="007159E0">
      <w:pPr>
        <w:pStyle w:val="FootnoteText"/>
      </w:pPr>
      <w:r>
        <w:rPr>
          <w:rStyle w:val="FootnoteReference"/>
        </w:rPr>
        <w:footnoteRef/>
      </w:r>
      <w:r>
        <w:t xml:space="preserve"> 47 U.S.C. §§ 52.101 (e), (f).</w:t>
      </w:r>
    </w:p>
  </w:footnote>
  <w:footnote w:id="268">
    <w:p w:rsidR="00DD2A3A" w:rsidRPr="00B60211" w:rsidRDefault="00DD2A3A" w:rsidP="00706BAB">
      <w:pPr>
        <w:pStyle w:val="FootnoteText"/>
        <w:spacing w:after="240"/>
        <w:rPr>
          <w:spacing w:val="-2"/>
        </w:rPr>
      </w:pPr>
      <w:r w:rsidRPr="00B60211">
        <w:rPr>
          <w:rStyle w:val="FootnoteReference"/>
          <w:spacing w:val="-2"/>
        </w:rPr>
        <w:footnoteRef/>
      </w:r>
      <w:r w:rsidRPr="00B60211">
        <w:rPr>
          <w:spacing w:val="-2"/>
        </w:rPr>
        <w:t xml:space="preserve"> Note that "small fees" are collected in advance for the entire license term.  Therefore, the annual fee amount shown in this table that is a small fee (categories 1 through 5) must be multiplied by the 5-or 10-year license term, as appropriate, to arrive at the total amount of regulatory fees owed.  </w:t>
      </w:r>
      <w:r>
        <w:rPr>
          <w:spacing w:val="-2"/>
        </w:rPr>
        <w:t xml:space="preserve">Also, </w:t>
      </w:r>
      <w:r w:rsidRPr="00B60211">
        <w:rPr>
          <w:spacing w:val="-2"/>
        </w:rPr>
        <w:t>application fees may apply as detailed in §1.1102 of this chapter.</w:t>
      </w:r>
    </w:p>
  </w:footnote>
  <w:footnote w:id="269">
    <w:p w:rsidR="00DD2A3A" w:rsidRPr="00B60211" w:rsidRDefault="00DD2A3A" w:rsidP="00706BAB">
      <w:pPr>
        <w:pStyle w:val="FootnoteText"/>
      </w:pPr>
      <w:r w:rsidRPr="00B60211">
        <w:rPr>
          <w:rStyle w:val="FootnoteReference"/>
        </w:rPr>
        <w:footnoteRef/>
      </w:r>
      <w:r w:rsidRPr="00B60211">
        <w:t xml:space="preserve"> These are standard fees that are to be paid in accordance with § 1.1157(b) of this chapter.</w:t>
      </w:r>
    </w:p>
  </w:footnote>
  <w:footnote w:id="270">
    <w:p w:rsidR="00DD2A3A" w:rsidRPr="005A3505" w:rsidRDefault="00DD2A3A" w:rsidP="00706BAB">
      <w:pPr>
        <w:pStyle w:val="FootnoteText"/>
      </w:pPr>
      <w:r w:rsidRPr="00B60211">
        <w:rPr>
          <w:rStyle w:val="FootnoteReference"/>
        </w:rPr>
        <w:footnoteRef/>
      </w:r>
      <w:r w:rsidRPr="00B60211">
        <w:t xml:space="preserve"> Th</w:t>
      </w:r>
      <w:r w:rsidRPr="005A3505">
        <w:t>ese are standard fees that are to be paid in accordance with § 1.1157(b) of this chapter.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55" w:rsidRDefault="007227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A" w:rsidRDefault="00DD2A3A" w:rsidP="00DD2A3A">
    <w:pPr>
      <w:pStyle w:val="Header"/>
    </w:pPr>
    <w:r>
      <w:tab/>
      <w:t>Federal Communications Commission</w:t>
    </w:r>
    <w:r>
      <w:tab/>
      <w:t xml:space="preserve"> FCC 14-129</w:t>
    </w:r>
  </w:p>
  <w:p w:rsidR="00DD2A3A" w:rsidRDefault="001A7F66" w:rsidP="00DD2A3A">
    <w:pPr>
      <w:pStyle w:val="Header"/>
    </w:pPr>
    <w:r>
      <w:rPr>
        <w:noProof/>
        <w:snapToGrid/>
      </w:rPr>
      <w:pict>
        <v:line id="Line 2" o:spid="_x0000_s4098" style="position:absolute;z-index:251658240;visibility:visible;mso-wrap-distance-top:-1e-4mm;mso-wrap-distance-bottom:-1e-4mm"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FrpLtESAgAA&#10;KQQAAA4AAAAAAAAAAAAAAAAALgIAAGRycy9lMm9Eb2MueG1sUEsBAi0AFAAGAAgAAAAhAO4pKK7Y&#10;AAAABAEAAA8AAAAAAAAAAAAAAAAAbAQAAGRycy9kb3ducmV2LnhtbFBLBQYAAAAABAAEAPMAAABx&#10;BQAAAAA=&#10;" o:allowincell="f"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3A" w:rsidRDefault="00DD2A3A" w:rsidP="00DD2A3A">
    <w:pPr>
      <w:pStyle w:val="Header"/>
    </w:pPr>
    <w:r>
      <w:tab/>
      <w:t>Federal Communications Commission</w:t>
    </w:r>
    <w:r>
      <w:tab/>
      <w:t>FCC 14-129</w:t>
    </w:r>
  </w:p>
  <w:p w:rsidR="00DD2A3A" w:rsidRDefault="001A7F66" w:rsidP="00DD2A3A">
    <w:pPr>
      <w:pStyle w:val="Header"/>
    </w:pPr>
    <w:r>
      <w:rPr>
        <w:noProof/>
        <w:snapToGrid/>
      </w:rPr>
      <w:pict>
        <v:line id="_x0000_s4097" style="position:absolute;z-index:251660288;visibility:visible;mso-wrap-distance-top:-1e-4mm;mso-wrap-distance-bottom:-1e-4mm"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" o:allowincell="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B2B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A89591F"/>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3">
    <w:nsid w:val="1AA72553"/>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4">
    <w:nsid w:val="1C30232D"/>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5">
    <w:nsid w:val="1F09508A"/>
    <w:multiLevelType w:val="multilevel"/>
    <w:tmpl w:val="7D5A78C2"/>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A9009E5"/>
    <w:multiLevelType w:val="multilevel"/>
    <w:tmpl w:val="37E49B74"/>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0">
    <w:nsid w:val="2B0355C8"/>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11">
    <w:nsid w:val="2C771368"/>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12">
    <w:nsid w:val="31AD0280"/>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3">
    <w:nsid w:val="31E25FD5"/>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4">
    <w:nsid w:val="345E437F"/>
    <w:multiLevelType w:val="singleLevel"/>
    <w:tmpl w:val="50EE1B60"/>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5">
    <w:nsid w:val="3C344BDD"/>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16">
    <w:nsid w:val="3D07680E"/>
    <w:multiLevelType w:val="hybridMultilevel"/>
    <w:tmpl w:val="96DE426A"/>
    <w:lvl w:ilvl="0" w:tplc="E3B88EBE">
      <w:start w:val="1"/>
      <w:numFmt w:val="bullet"/>
      <w:lvlText w:val=""/>
      <w:lvlJc w:val="left"/>
      <w:pPr>
        <w:ind w:left="1350" w:hanging="360"/>
      </w:pPr>
      <w:rPr>
        <w:rFonts w:ascii="Symbol" w:hAnsi="Symbol" w:hint="default"/>
      </w:rPr>
    </w:lvl>
    <w:lvl w:ilvl="1" w:tplc="906864D0">
      <w:start w:val="1"/>
      <w:numFmt w:val="bullet"/>
      <w:lvlText w:val="o"/>
      <w:lvlJc w:val="left"/>
      <w:pPr>
        <w:ind w:left="2070" w:hanging="360"/>
      </w:pPr>
      <w:rPr>
        <w:rFonts w:ascii="Courier New" w:hAnsi="Courier New" w:cs="Courier New" w:hint="default"/>
      </w:rPr>
    </w:lvl>
    <w:lvl w:ilvl="2" w:tplc="DE6C7718" w:tentative="1">
      <w:start w:val="1"/>
      <w:numFmt w:val="bullet"/>
      <w:lvlText w:val=""/>
      <w:lvlJc w:val="left"/>
      <w:pPr>
        <w:ind w:left="2790" w:hanging="360"/>
      </w:pPr>
      <w:rPr>
        <w:rFonts w:ascii="Wingdings" w:hAnsi="Wingdings" w:hint="default"/>
      </w:rPr>
    </w:lvl>
    <w:lvl w:ilvl="3" w:tplc="3D507CE4" w:tentative="1">
      <w:start w:val="1"/>
      <w:numFmt w:val="bullet"/>
      <w:lvlText w:val=""/>
      <w:lvlJc w:val="left"/>
      <w:pPr>
        <w:ind w:left="3510" w:hanging="360"/>
      </w:pPr>
      <w:rPr>
        <w:rFonts w:ascii="Symbol" w:hAnsi="Symbol" w:hint="default"/>
      </w:rPr>
    </w:lvl>
    <w:lvl w:ilvl="4" w:tplc="D3D64D16" w:tentative="1">
      <w:start w:val="1"/>
      <w:numFmt w:val="bullet"/>
      <w:lvlText w:val="o"/>
      <w:lvlJc w:val="left"/>
      <w:pPr>
        <w:ind w:left="4230" w:hanging="360"/>
      </w:pPr>
      <w:rPr>
        <w:rFonts w:ascii="Courier New" w:hAnsi="Courier New" w:cs="Courier New" w:hint="default"/>
      </w:rPr>
    </w:lvl>
    <w:lvl w:ilvl="5" w:tplc="C2A00612" w:tentative="1">
      <w:start w:val="1"/>
      <w:numFmt w:val="bullet"/>
      <w:lvlText w:val=""/>
      <w:lvlJc w:val="left"/>
      <w:pPr>
        <w:ind w:left="4950" w:hanging="360"/>
      </w:pPr>
      <w:rPr>
        <w:rFonts w:ascii="Wingdings" w:hAnsi="Wingdings" w:hint="default"/>
      </w:rPr>
    </w:lvl>
    <w:lvl w:ilvl="6" w:tplc="303CE5F4" w:tentative="1">
      <w:start w:val="1"/>
      <w:numFmt w:val="bullet"/>
      <w:lvlText w:val=""/>
      <w:lvlJc w:val="left"/>
      <w:pPr>
        <w:ind w:left="5670" w:hanging="360"/>
      </w:pPr>
      <w:rPr>
        <w:rFonts w:ascii="Symbol" w:hAnsi="Symbol" w:hint="default"/>
      </w:rPr>
    </w:lvl>
    <w:lvl w:ilvl="7" w:tplc="6C0EE500" w:tentative="1">
      <w:start w:val="1"/>
      <w:numFmt w:val="bullet"/>
      <w:lvlText w:val="o"/>
      <w:lvlJc w:val="left"/>
      <w:pPr>
        <w:ind w:left="6390" w:hanging="360"/>
      </w:pPr>
      <w:rPr>
        <w:rFonts w:ascii="Courier New" w:hAnsi="Courier New" w:cs="Courier New" w:hint="default"/>
      </w:rPr>
    </w:lvl>
    <w:lvl w:ilvl="8" w:tplc="BB76544E" w:tentative="1">
      <w:start w:val="1"/>
      <w:numFmt w:val="bullet"/>
      <w:lvlText w:val=""/>
      <w:lvlJc w:val="left"/>
      <w:pPr>
        <w:ind w:left="7110" w:hanging="360"/>
      </w:pPr>
      <w:rPr>
        <w:rFonts w:ascii="Wingdings" w:hAnsi="Wingdings" w:hint="default"/>
      </w:rPr>
    </w:lvl>
  </w:abstractNum>
  <w:abstractNum w:abstractNumId="17">
    <w:nsid w:val="3D0F1B3D"/>
    <w:multiLevelType w:val="singleLevel"/>
    <w:tmpl w:val="4DCCE696"/>
    <w:lvl w:ilvl="0">
      <w:start w:val="1"/>
      <w:numFmt w:val="decimal"/>
      <w:lvlText w:val="%1."/>
      <w:lvlJc w:val="left"/>
      <w:pPr>
        <w:tabs>
          <w:tab w:val="num" w:pos="1170"/>
        </w:tabs>
        <w:ind w:left="90" w:firstLine="720"/>
      </w:pPr>
      <w:rPr>
        <w:rFonts w:ascii="Times New Roman" w:hAnsi="Times New Roman" w:hint="default"/>
        <w:b w:val="0"/>
        <w:i w:val="0"/>
        <w:caps w:val="0"/>
        <w:strike w:val="0"/>
        <w:dstrike w:val="0"/>
        <w:vanish w:val="0"/>
        <w:sz w:val="22"/>
        <w:u w:val="none"/>
        <w:vertAlign w:val="baseline"/>
      </w:rPr>
    </w:lvl>
  </w:abstractNum>
  <w:abstractNum w:abstractNumId="18">
    <w:nsid w:val="45DC3A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496B4275"/>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2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2">
    <w:nsid w:val="541F6B38"/>
    <w:multiLevelType w:val="multilevel"/>
    <w:tmpl w:val="40A0CA86"/>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070"/>
        </w:tabs>
        <w:ind w:left="2070" w:hanging="720"/>
      </w:pPr>
      <w:rPr>
        <w:b/>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3">
    <w:nsid w:val="54FB72DB"/>
    <w:multiLevelType w:val="singleLevel"/>
    <w:tmpl w:val="4C14F8B8"/>
    <w:lvl w:ilvl="0">
      <w:start w:val="1"/>
      <w:numFmt w:val="bullet"/>
      <w:lvlText w:val=""/>
      <w:lvlJc w:val="left"/>
      <w:pPr>
        <w:tabs>
          <w:tab w:val="num" w:pos="2520"/>
        </w:tabs>
        <w:ind w:left="2520" w:hanging="360"/>
      </w:pPr>
      <w:rPr>
        <w:rFonts w:ascii="Symbol" w:hAnsi="Symbol" w:hint="default"/>
      </w:rPr>
    </w:lvl>
  </w:abstractNum>
  <w:abstractNum w:abstractNumId="24">
    <w:nsid w:val="59BA0F8A"/>
    <w:multiLevelType w:val="singleLevel"/>
    <w:tmpl w:val="5E322D42"/>
    <w:lvl w:ilvl="0">
      <w:start w:val="1"/>
      <w:numFmt w:val="bullet"/>
      <w:lvlText w:val=""/>
      <w:lvlJc w:val="left"/>
      <w:pPr>
        <w:tabs>
          <w:tab w:val="num" w:pos="2520"/>
        </w:tabs>
        <w:ind w:left="2520" w:hanging="360"/>
      </w:pPr>
      <w:rPr>
        <w:rFonts w:ascii="Symbol" w:hAnsi="Symbol" w:hint="default"/>
      </w:rPr>
    </w:lvl>
  </w:abstractNum>
  <w:abstractNum w:abstractNumId="25">
    <w:nsid w:val="5B81240C"/>
    <w:multiLevelType w:val="hybridMultilevel"/>
    <w:tmpl w:val="292E23E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6">
    <w:nsid w:val="5D2B06DD"/>
    <w:multiLevelType w:val="multilevel"/>
    <w:tmpl w:val="5636CE50"/>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27">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8">
    <w:nsid w:val="6496261D"/>
    <w:multiLevelType w:val="singleLevel"/>
    <w:tmpl w:val="459AAAC2"/>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29">
    <w:nsid w:val="679A4E82"/>
    <w:multiLevelType w:val="hybridMultilevel"/>
    <w:tmpl w:val="3416B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2B48D2"/>
    <w:multiLevelType w:val="singleLevel"/>
    <w:tmpl w:val="462A4EC8"/>
    <w:lvl w:ilvl="0">
      <w:start w:val="1"/>
      <w:numFmt w:val="decimal"/>
      <w:pStyle w:val="Paranum0"/>
      <w:lvlText w:val="%1."/>
      <w:lvlJc w:val="left"/>
      <w:pPr>
        <w:tabs>
          <w:tab w:val="num" w:pos="1080"/>
        </w:tabs>
        <w:ind w:left="0" w:firstLine="720"/>
      </w:pPr>
      <w:rPr>
        <w:b w:val="0"/>
        <w:color w:val="auto"/>
      </w:rPr>
    </w:lvl>
  </w:abstractNum>
  <w:abstractNum w:abstractNumId="31">
    <w:nsid w:val="6D4829E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89360C"/>
    <w:multiLevelType w:val="hybridMultilevel"/>
    <w:tmpl w:val="4B520C5A"/>
    <w:lvl w:ilvl="0" w:tplc="1C207F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110DEA"/>
    <w:multiLevelType w:val="hybridMultilevel"/>
    <w:tmpl w:val="D8DE55BE"/>
    <w:lvl w:ilvl="0" w:tplc="AE440DDC">
      <w:start w:val="1"/>
      <w:numFmt w:val="decimal"/>
      <w:lvlText w:val="%1."/>
      <w:lvlJc w:val="left"/>
      <w:pPr>
        <w:tabs>
          <w:tab w:val="num" w:pos="1980"/>
        </w:tabs>
        <w:ind w:left="1980" w:hanging="360"/>
      </w:pPr>
      <w:rPr>
        <w:rFonts w:ascii="Times New Roman" w:hAnsi="Times New Roman" w:cs="Times New Roman" w:hint="default"/>
        <w:sz w:val="22"/>
        <w:szCs w:val="22"/>
      </w:rPr>
    </w:lvl>
    <w:lvl w:ilvl="1" w:tplc="EB56C412">
      <w:start w:val="1"/>
      <w:numFmt w:val="upperRoman"/>
      <w:lvlText w:val="%2."/>
      <w:lvlJc w:val="left"/>
      <w:pPr>
        <w:tabs>
          <w:tab w:val="num" w:pos="3780"/>
        </w:tabs>
        <w:ind w:left="3780" w:hanging="720"/>
      </w:pPr>
      <w:rPr>
        <w:rFonts w:hint="default"/>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34">
    <w:nsid w:val="76FA2B00"/>
    <w:multiLevelType w:val="multilevel"/>
    <w:tmpl w:val="66C40B32"/>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1656"/>
        </w:tabs>
        <w:ind w:left="1440" w:hanging="144"/>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num w:numId="1">
    <w:abstractNumId w:val="21"/>
  </w:num>
  <w:num w:numId="2">
    <w:abstractNumId w:val="31"/>
  </w:num>
  <w:num w:numId="3">
    <w:abstractNumId w:val="30"/>
  </w:num>
  <w:num w:numId="4">
    <w:abstractNumId w:val="27"/>
  </w:num>
  <w:num w:numId="5">
    <w:abstractNumId w:val="8"/>
  </w:num>
  <w:num w:numId="6">
    <w:abstractNumId w:val="25"/>
  </w:num>
  <w:num w:numId="7">
    <w:abstractNumId w:val="6"/>
  </w:num>
  <w:num w:numId="8">
    <w:abstractNumId w:val="20"/>
  </w:num>
  <w:num w:numId="9">
    <w:abstractNumId w:val="7"/>
  </w:num>
  <w:num w:numId="10">
    <w:abstractNumId w:val="1"/>
  </w:num>
  <w:num w:numId="11">
    <w:abstractNumId w:val="16"/>
  </w:num>
  <w:num w:numId="12">
    <w:abstractNumId w:val="27"/>
  </w:num>
  <w:num w:numId="13">
    <w:abstractNumId w:val="27"/>
  </w:num>
  <w:num w:numId="14">
    <w:abstractNumId w:val="8"/>
  </w:num>
  <w:num w:numId="15">
    <w:abstractNumId w:val="27"/>
  </w:num>
  <w:num w:numId="16">
    <w:abstractNumId w:val="27"/>
  </w:num>
  <w:num w:numId="17">
    <w:abstractNumId w:val="28"/>
  </w:num>
  <w:num w:numId="18">
    <w:abstractNumId w:val="34"/>
  </w:num>
  <w:num w:numId="19">
    <w:abstractNumId w:val="5"/>
  </w:num>
  <w:num w:numId="20">
    <w:abstractNumId w:val="22"/>
  </w:num>
  <w:num w:numId="21">
    <w:abstractNumId w:val="9"/>
  </w:num>
  <w:num w:numId="22">
    <w:abstractNumId w:val="26"/>
  </w:num>
  <w:num w:numId="23">
    <w:abstractNumId w:val="18"/>
  </w:num>
  <w:num w:numId="24">
    <w:abstractNumId w:val="10"/>
  </w:num>
  <w:num w:numId="25">
    <w:abstractNumId w:val="24"/>
  </w:num>
  <w:num w:numId="26">
    <w:abstractNumId w:val="15"/>
  </w:num>
  <w:num w:numId="27">
    <w:abstractNumId w:val="14"/>
  </w:num>
  <w:num w:numId="28">
    <w:abstractNumId w:val="11"/>
  </w:num>
  <w:num w:numId="29">
    <w:abstractNumId w:val="17"/>
  </w:num>
  <w:num w:numId="30">
    <w:abstractNumId w:val="23"/>
  </w:num>
  <w:num w:numId="31">
    <w:abstractNumId w:val="3"/>
  </w:num>
  <w:num w:numId="32">
    <w:abstractNumId w:val="4"/>
  </w:num>
  <w:num w:numId="33">
    <w:abstractNumId w:val="12"/>
  </w:num>
  <w:num w:numId="34">
    <w:abstractNumId w:val="2"/>
  </w:num>
  <w:num w:numId="35">
    <w:abstractNumId w:val="13"/>
  </w:num>
  <w:num w:numId="36">
    <w:abstractNumId w:val="19"/>
  </w:num>
  <w:num w:numId="37">
    <w:abstractNumId w:val="17"/>
    <w:lvlOverride w:ilvl="0">
      <w:startOverride w:val="1"/>
    </w:lvlOverride>
  </w:num>
  <w:num w:numId="38">
    <w:abstractNumId w:val="17"/>
    <w:lvlOverride w:ilvl="0">
      <w:startOverride w:val="1"/>
    </w:lvlOverride>
  </w:num>
  <w:num w:numId="39">
    <w:abstractNumId w:val="33"/>
  </w:num>
  <w:num w:numId="40">
    <w:abstractNumId w:val="0"/>
  </w:num>
  <w:num w:numId="41">
    <w:abstractNumId w:val="29"/>
  </w:num>
  <w:num w:numId="42">
    <w:abstractNumId w:val="22"/>
    <w:lvlOverride w:ilvl="0">
      <w:startOverride w:val="1"/>
    </w:lvlOverride>
    <w:lvlOverride w:ilvl="1">
      <w:startOverride w:val="1"/>
    </w:lvlOverride>
    <w:lvlOverride w:ilvl="2">
      <w:startOverride w:val="4"/>
    </w:lvlOverride>
  </w:num>
  <w:num w:numId="43">
    <w:abstractNumId w:val="17"/>
    <w:lvlOverride w:ilvl="0">
      <w:startOverride w:val="3"/>
    </w:lvlOverride>
  </w:num>
  <w:num w:numId="44">
    <w:abstractNumId w:val="27"/>
    <w:lvlOverride w:ilvl="0">
      <w:startOverride w:val="1"/>
    </w:lvlOverride>
  </w:num>
  <w:num w:numId="45">
    <w:abstractNumId w:val="27"/>
  </w:num>
  <w:num w:numId="46">
    <w:abstractNumId w:val="3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a Savir">
    <w15:presenceInfo w15:providerId="Windows Live" w15:userId="771a5602873cf6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attachedTemplate r:id="rId1"/>
  <w:linkStyle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numRestart w:val="eachSect"/>
    <w:footnote w:id="-1"/>
    <w:footnote w:id="0"/>
    <w:footnote w:id="1"/>
  </w:footnotePr>
  <w:endnotePr>
    <w:endnote w:id="-1"/>
    <w:endnote w:id="0"/>
    <w:endnote w:id="1"/>
  </w:endnotePr>
  <w:compat/>
  <w:rsids>
    <w:rsidRoot w:val="004777BD"/>
    <w:rsid w:val="0000013B"/>
    <w:rsid w:val="000011E0"/>
    <w:rsid w:val="000013D2"/>
    <w:rsid w:val="000013F3"/>
    <w:rsid w:val="00001B55"/>
    <w:rsid w:val="000021F2"/>
    <w:rsid w:val="000023CE"/>
    <w:rsid w:val="00002595"/>
    <w:rsid w:val="00002E0B"/>
    <w:rsid w:val="00003B30"/>
    <w:rsid w:val="00004073"/>
    <w:rsid w:val="00005C9D"/>
    <w:rsid w:val="000066CF"/>
    <w:rsid w:val="000072C1"/>
    <w:rsid w:val="0000731A"/>
    <w:rsid w:val="0000777B"/>
    <w:rsid w:val="00007F9C"/>
    <w:rsid w:val="00011185"/>
    <w:rsid w:val="0001128D"/>
    <w:rsid w:val="000115FF"/>
    <w:rsid w:val="00012270"/>
    <w:rsid w:val="000128EE"/>
    <w:rsid w:val="00014534"/>
    <w:rsid w:val="00014A4E"/>
    <w:rsid w:val="00015410"/>
    <w:rsid w:val="00015478"/>
    <w:rsid w:val="00015884"/>
    <w:rsid w:val="00017C6B"/>
    <w:rsid w:val="00020403"/>
    <w:rsid w:val="00020F07"/>
    <w:rsid w:val="00021046"/>
    <w:rsid w:val="0002135B"/>
    <w:rsid w:val="00021774"/>
    <w:rsid w:val="00021AF4"/>
    <w:rsid w:val="00021D5D"/>
    <w:rsid w:val="000225CD"/>
    <w:rsid w:val="00023049"/>
    <w:rsid w:val="00023E80"/>
    <w:rsid w:val="00024B58"/>
    <w:rsid w:val="00024C4A"/>
    <w:rsid w:val="000251CF"/>
    <w:rsid w:val="00025CA3"/>
    <w:rsid w:val="000263B2"/>
    <w:rsid w:val="00026ED7"/>
    <w:rsid w:val="0003079A"/>
    <w:rsid w:val="00030B8F"/>
    <w:rsid w:val="000311FD"/>
    <w:rsid w:val="0003175B"/>
    <w:rsid w:val="00032720"/>
    <w:rsid w:val="00033BC5"/>
    <w:rsid w:val="000346C4"/>
    <w:rsid w:val="0003520C"/>
    <w:rsid w:val="00035821"/>
    <w:rsid w:val="000364A6"/>
    <w:rsid w:val="000406D0"/>
    <w:rsid w:val="00042811"/>
    <w:rsid w:val="00042952"/>
    <w:rsid w:val="00045486"/>
    <w:rsid w:val="00045FD5"/>
    <w:rsid w:val="0004772C"/>
    <w:rsid w:val="00047798"/>
    <w:rsid w:val="00052C99"/>
    <w:rsid w:val="00052D9F"/>
    <w:rsid w:val="00053193"/>
    <w:rsid w:val="00053458"/>
    <w:rsid w:val="000540B8"/>
    <w:rsid w:val="00054A29"/>
    <w:rsid w:val="000551D4"/>
    <w:rsid w:val="00055350"/>
    <w:rsid w:val="00055F8F"/>
    <w:rsid w:val="00056AF6"/>
    <w:rsid w:val="0005776C"/>
    <w:rsid w:val="0005796C"/>
    <w:rsid w:val="00057AFA"/>
    <w:rsid w:val="000600AA"/>
    <w:rsid w:val="00061D2F"/>
    <w:rsid w:val="00061F34"/>
    <w:rsid w:val="0006268D"/>
    <w:rsid w:val="00062A28"/>
    <w:rsid w:val="000633E9"/>
    <w:rsid w:val="00063EF5"/>
    <w:rsid w:val="00067117"/>
    <w:rsid w:val="00070098"/>
    <w:rsid w:val="000715D3"/>
    <w:rsid w:val="00071661"/>
    <w:rsid w:val="00071817"/>
    <w:rsid w:val="00071F05"/>
    <w:rsid w:val="000725D1"/>
    <w:rsid w:val="00073150"/>
    <w:rsid w:val="00074268"/>
    <w:rsid w:val="00074E1D"/>
    <w:rsid w:val="000766F9"/>
    <w:rsid w:val="0008039F"/>
    <w:rsid w:val="000815EB"/>
    <w:rsid w:val="0008216F"/>
    <w:rsid w:val="00083865"/>
    <w:rsid w:val="00083E4F"/>
    <w:rsid w:val="00083F80"/>
    <w:rsid w:val="000840DD"/>
    <w:rsid w:val="000842AE"/>
    <w:rsid w:val="000861F4"/>
    <w:rsid w:val="0008697F"/>
    <w:rsid w:val="00086A51"/>
    <w:rsid w:val="00087C88"/>
    <w:rsid w:val="00090B78"/>
    <w:rsid w:val="0009217D"/>
    <w:rsid w:val="0009277E"/>
    <w:rsid w:val="00093D7F"/>
    <w:rsid w:val="0009569F"/>
    <w:rsid w:val="000975E5"/>
    <w:rsid w:val="00097D63"/>
    <w:rsid w:val="00097DF8"/>
    <w:rsid w:val="000A0AC7"/>
    <w:rsid w:val="000A1C31"/>
    <w:rsid w:val="000A2105"/>
    <w:rsid w:val="000A3072"/>
    <w:rsid w:val="000A3189"/>
    <w:rsid w:val="000A348F"/>
    <w:rsid w:val="000A37D2"/>
    <w:rsid w:val="000A3F97"/>
    <w:rsid w:val="000A4240"/>
    <w:rsid w:val="000A56A1"/>
    <w:rsid w:val="000A660B"/>
    <w:rsid w:val="000A686E"/>
    <w:rsid w:val="000A68C6"/>
    <w:rsid w:val="000A6F0B"/>
    <w:rsid w:val="000A71C7"/>
    <w:rsid w:val="000A7604"/>
    <w:rsid w:val="000A762E"/>
    <w:rsid w:val="000A7B6C"/>
    <w:rsid w:val="000B065E"/>
    <w:rsid w:val="000B0E9A"/>
    <w:rsid w:val="000B11BA"/>
    <w:rsid w:val="000B15F0"/>
    <w:rsid w:val="000B1C00"/>
    <w:rsid w:val="000B412F"/>
    <w:rsid w:val="000B4179"/>
    <w:rsid w:val="000B452E"/>
    <w:rsid w:val="000B6208"/>
    <w:rsid w:val="000B6728"/>
    <w:rsid w:val="000B7AB2"/>
    <w:rsid w:val="000B7F91"/>
    <w:rsid w:val="000C02EE"/>
    <w:rsid w:val="000C047B"/>
    <w:rsid w:val="000C06E3"/>
    <w:rsid w:val="000C14BD"/>
    <w:rsid w:val="000C1F78"/>
    <w:rsid w:val="000C25C4"/>
    <w:rsid w:val="000C25D7"/>
    <w:rsid w:val="000C2DA1"/>
    <w:rsid w:val="000C3CA2"/>
    <w:rsid w:val="000C3D58"/>
    <w:rsid w:val="000C413D"/>
    <w:rsid w:val="000C4557"/>
    <w:rsid w:val="000C4618"/>
    <w:rsid w:val="000C4759"/>
    <w:rsid w:val="000C5229"/>
    <w:rsid w:val="000C52EC"/>
    <w:rsid w:val="000C6039"/>
    <w:rsid w:val="000C65E6"/>
    <w:rsid w:val="000D15F8"/>
    <w:rsid w:val="000D19F6"/>
    <w:rsid w:val="000D1AE7"/>
    <w:rsid w:val="000D2555"/>
    <w:rsid w:val="000D580E"/>
    <w:rsid w:val="000D5C9D"/>
    <w:rsid w:val="000D65F2"/>
    <w:rsid w:val="000D6B01"/>
    <w:rsid w:val="000D724E"/>
    <w:rsid w:val="000E1A50"/>
    <w:rsid w:val="000E2702"/>
    <w:rsid w:val="000E333B"/>
    <w:rsid w:val="000E36C9"/>
    <w:rsid w:val="000E395D"/>
    <w:rsid w:val="000E3F1B"/>
    <w:rsid w:val="000E3F61"/>
    <w:rsid w:val="000E48C3"/>
    <w:rsid w:val="000E4F66"/>
    <w:rsid w:val="000E7158"/>
    <w:rsid w:val="000E7277"/>
    <w:rsid w:val="000E771A"/>
    <w:rsid w:val="000E7E27"/>
    <w:rsid w:val="000F0E8A"/>
    <w:rsid w:val="000F1654"/>
    <w:rsid w:val="000F1C35"/>
    <w:rsid w:val="000F1EAC"/>
    <w:rsid w:val="000F1F25"/>
    <w:rsid w:val="000F262E"/>
    <w:rsid w:val="000F3AA2"/>
    <w:rsid w:val="000F3D95"/>
    <w:rsid w:val="000F4134"/>
    <w:rsid w:val="000F4197"/>
    <w:rsid w:val="000F53B0"/>
    <w:rsid w:val="000F5BB1"/>
    <w:rsid w:val="000F6AA0"/>
    <w:rsid w:val="000F71B5"/>
    <w:rsid w:val="000F74F9"/>
    <w:rsid w:val="000F7E16"/>
    <w:rsid w:val="00100C17"/>
    <w:rsid w:val="0010195C"/>
    <w:rsid w:val="00101B40"/>
    <w:rsid w:val="001029EE"/>
    <w:rsid w:val="00102AB6"/>
    <w:rsid w:val="00102ECE"/>
    <w:rsid w:val="00103DDF"/>
    <w:rsid w:val="00103E14"/>
    <w:rsid w:val="001047D0"/>
    <w:rsid w:val="00104A93"/>
    <w:rsid w:val="00104E54"/>
    <w:rsid w:val="00105154"/>
    <w:rsid w:val="00105CD6"/>
    <w:rsid w:val="001063AA"/>
    <w:rsid w:val="00106799"/>
    <w:rsid w:val="00106C39"/>
    <w:rsid w:val="00106F7D"/>
    <w:rsid w:val="0011024C"/>
    <w:rsid w:val="00110A2C"/>
    <w:rsid w:val="00110C40"/>
    <w:rsid w:val="00110F55"/>
    <w:rsid w:val="0011180E"/>
    <w:rsid w:val="0011242B"/>
    <w:rsid w:val="0011286D"/>
    <w:rsid w:val="00112A7F"/>
    <w:rsid w:val="00113346"/>
    <w:rsid w:val="001137F5"/>
    <w:rsid w:val="00113BA5"/>
    <w:rsid w:val="00113D8D"/>
    <w:rsid w:val="001144AB"/>
    <w:rsid w:val="00115BF1"/>
    <w:rsid w:val="0011609A"/>
    <w:rsid w:val="001163F6"/>
    <w:rsid w:val="00116947"/>
    <w:rsid w:val="001169B0"/>
    <w:rsid w:val="00116B9C"/>
    <w:rsid w:val="00117BEE"/>
    <w:rsid w:val="00120BF0"/>
    <w:rsid w:val="001217C2"/>
    <w:rsid w:val="00121B93"/>
    <w:rsid w:val="001226A8"/>
    <w:rsid w:val="0012317D"/>
    <w:rsid w:val="001234AA"/>
    <w:rsid w:val="00123957"/>
    <w:rsid w:val="00123B4F"/>
    <w:rsid w:val="00123CA7"/>
    <w:rsid w:val="0012456D"/>
    <w:rsid w:val="00124A29"/>
    <w:rsid w:val="00124EAF"/>
    <w:rsid w:val="00125CAF"/>
    <w:rsid w:val="0012628A"/>
    <w:rsid w:val="0012692F"/>
    <w:rsid w:val="00127B0F"/>
    <w:rsid w:val="001305DA"/>
    <w:rsid w:val="0013104C"/>
    <w:rsid w:val="0013213F"/>
    <w:rsid w:val="001330F7"/>
    <w:rsid w:val="001339E4"/>
    <w:rsid w:val="00134C26"/>
    <w:rsid w:val="001350CA"/>
    <w:rsid w:val="00135F32"/>
    <w:rsid w:val="00136DCF"/>
    <w:rsid w:val="00136DD6"/>
    <w:rsid w:val="00137A78"/>
    <w:rsid w:val="00140CBD"/>
    <w:rsid w:val="00141889"/>
    <w:rsid w:val="00142CC6"/>
    <w:rsid w:val="00143B92"/>
    <w:rsid w:val="00144B45"/>
    <w:rsid w:val="0014590B"/>
    <w:rsid w:val="0014749C"/>
    <w:rsid w:val="00151651"/>
    <w:rsid w:val="00152081"/>
    <w:rsid w:val="001527E0"/>
    <w:rsid w:val="00152848"/>
    <w:rsid w:val="00153E41"/>
    <w:rsid w:val="00157425"/>
    <w:rsid w:val="0015764E"/>
    <w:rsid w:val="00157B67"/>
    <w:rsid w:val="00160543"/>
    <w:rsid w:val="00160C25"/>
    <w:rsid w:val="00160CCF"/>
    <w:rsid w:val="00160E5B"/>
    <w:rsid w:val="0016108A"/>
    <w:rsid w:val="001613BA"/>
    <w:rsid w:val="00162CD1"/>
    <w:rsid w:val="0016301B"/>
    <w:rsid w:val="001630FA"/>
    <w:rsid w:val="001632AE"/>
    <w:rsid w:val="00163CA3"/>
    <w:rsid w:val="00164E59"/>
    <w:rsid w:val="00165410"/>
    <w:rsid w:val="00165449"/>
    <w:rsid w:val="001654A4"/>
    <w:rsid w:val="00165BE5"/>
    <w:rsid w:val="001662C6"/>
    <w:rsid w:val="00167267"/>
    <w:rsid w:val="0016737B"/>
    <w:rsid w:val="00167EF6"/>
    <w:rsid w:val="0017044A"/>
    <w:rsid w:val="00170EE7"/>
    <w:rsid w:val="0017182A"/>
    <w:rsid w:val="001734DA"/>
    <w:rsid w:val="00176599"/>
    <w:rsid w:val="00176953"/>
    <w:rsid w:val="00177232"/>
    <w:rsid w:val="00177490"/>
    <w:rsid w:val="0018123E"/>
    <w:rsid w:val="001813B5"/>
    <w:rsid w:val="00181943"/>
    <w:rsid w:val="001819CE"/>
    <w:rsid w:val="0018208F"/>
    <w:rsid w:val="0018289D"/>
    <w:rsid w:val="001828DD"/>
    <w:rsid w:val="00182B7F"/>
    <w:rsid w:val="00182E23"/>
    <w:rsid w:val="0018365B"/>
    <w:rsid w:val="00183EA3"/>
    <w:rsid w:val="00184C06"/>
    <w:rsid w:val="00184CC8"/>
    <w:rsid w:val="0018511B"/>
    <w:rsid w:val="00186588"/>
    <w:rsid w:val="0018683A"/>
    <w:rsid w:val="00186AF7"/>
    <w:rsid w:val="00187FA3"/>
    <w:rsid w:val="001905E0"/>
    <w:rsid w:val="00191920"/>
    <w:rsid w:val="00191FFA"/>
    <w:rsid w:val="0019333C"/>
    <w:rsid w:val="00194EAB"/>
    <w:rsid w:val="001950FD"/>
    <w:rsid w:val="00196046"/>
    <w:rsid w:val="001962C5"/>
    <w:rsid w:val="00196419"/>
    <w:rsid w:val="001A06B6"/>
    <w:rsid w:val="001A0863"/>
    <w:rsid w:val="001A0AA0"/>
    <w:rsid w:val="001A1DC5"/>
    <w:rsid w:val="001A3029"/>
    <w:rsid w:val="001A3452"/>
    <w:rsid w:val="001A3589"/>
    <w:rsid w:val="001A4165"/>
    <w:rsid w:val="001A5087"/>
    <w:rsid w:val="001A5787"/>
    <w:rsid w:val="001A6F6D"/>
    <w:rsid w:val="001A771B"/>
    <w:rsid w:val="001A77B5"/>
    <w:rsid w:val="001A7F66"/>
    <w:rsid w:val="001B01F7"/>
    <w:rsid w:val="001B0FC1"/>
    <w:rsid w:val="001B1B0F"/>
    <w:rsid w:val="001B308B"/>
    <w:rsid w:val="001B34AA"/>
    <w:rsid w:val="001B3706"/>
    <w:rsid w:val="001B3FEB"/>
    <w:rsid w:val="001B45F2"/>
    <w:rsid w:val="001B4CA4"/>
    <w:rsid w:val="001B56BF"/>
    <w:rsid w:val="001B61C0"/>
    <w:rsid w:val="001B629D"/>
    <w:rsid w:val="001B6501"/>
    <w:rsid w:val="001C0166"/>
    <w:rsid w:val="001C11D0"/>
    <w:rsid w:val="001C1A7C"/>
    <w:rsid w:val="001C1CB7"/>
    <w:rsid w:val="001C28EA"/>
    <w:rsid w:val="001C29DD"/>
    <w:rsid w:val="001C30B8"/>
    <w:rsid w:val="001C3DA9"/>
    <w:rsid w:val="001C50C8"/>
    <w:rsid w:val="001C5345"/>
    <w:rsid w:val="001C5937"/>
    <w:rsid w:val="001C6185"/>
    <w:rsid w:val="001C6370"/>
    <w:rsid w:val="001C667C"/>
    <w:rsid w:val="001D1608"/>
    <w:rsid w:val="001D1946"/>
    <w:rsid w:val="001D27DA"/>
    <w:rsid w:val="001D3301"/>
    <w:rsid w:val="001D39FA"/>
    <w:rsid w:val="001D4118"/>
    <w:rsid w:val="001D5F72"/>
    <w:rsid w:val="001D688E"/>
    <w:rsid w:val="001D6942"/>
    <w:rsid w:val="001D6BCB"/>
    <w:rsid w:val="001D7F9F"/>
    <w:rsid w:val="001E1742"/>
    <w:rsid w:val="001E1FE6"/>
    <w:rsid w:val="001E36AD"/>
    <w:rsid w:val="001E3959"/>
    <w:rsid w:val="001E55EA"/>
    <w:rsid w:val="001E5F86"/>
    <w:rsid w:val="001E62CE"/>
    <w:rsid w:val="001E640C"/>
    <w:rsid w:val="001F0E88"/>
    <w:rsid w:val="001F1EDF"/>
    <w:rsid w:val="001F23F6"/>
    <w:rsid w:val="001F25B4"/>
    <w:rsid w:val="001F2E4D"/>
    <w:rsid w:val="001F2FF6"/>
    <w:rsid w:val="001F36BF"/>
    <w:rsid w:val="001F4665"/>
    <w:rsid w:val="001F4781"/>
    <w:rsid w:val="001F4C37"/>
    <w:rsid w:val="001F54CD"/>
    <w:rsid w:val="001F5A14"/>
    <w:rsid w:val="001F602F"/>
    <w:rsid w:val="001F60FD"/>
    <w:rsid w:val="001F650E"/>
    <w:rsid w:val="001F66C3"/>
    <w:rsid w:val="001F6998"/>
    <w:rsid w:val="001F7036"/>
    <w:rsid w:val="001F7E8B"/>
    <w:rsid w:val="0020132C"/>
    <w:rsid w:val="0020178C"/>
    <w:rsid w:val="00203E39"/>
    <w:rsid w:val="002044DD"/>
    <w:rsid w:val="00204AD5"/>
    <w:rsid w:val="00204CCF"/>
    <w:rsid w:val="00204DC2"/>
    <w:rsid w:val="00205444"/>
    <w:rsid w:val="0020552A"/>
    <w:rsid w:val="002055D9"/>
    <w:rsid w:val="002063C6"/>
    <w:rsid w:val="00206CF0"/>
    <w:rsid w:val="00207CB0"/>
    <w:rsid w:val="002107EF"/>
    <w:rsid w:val="00210F79"/>
    <w:rsid w:val="00211C1A"/>
    <w:rsid w:val="00214B36"/>
    <w:rsid w:val="00214DA1"/>
    <w:rsid w:val="002151AC"/>
    <w:rsid w:val="0021618D"/>
    <w:rsid w:val="002163D2"/>
    <w:rsid w:val="00216CF9"/>
    <w:rsid w:val="00216D7E"/>
    <w:rsid w:val="002172C3"/>
    <w:rsid w:val="00222625"/>
    <w:rsid w:val="00223017"/>
    <w:rsid w:val="00223331"/>
    <w:rsid w:val="002233EE"/>
    <w:rsid w:val="0022480A"/>
    <w:rsid w:val="00225E89"/>
    <w:rsid w:val="00226809"/>
    <w:rsid w:val="00226E2D"/>
    <w:rsid w:val="00227107"/>
    <w:rsid w:val="002274B2"/>
    <w:rsid w:val="002319E4"/>
    <w:rsid w:val="002319F0"/>
    <w:rsid w:val="00232C73"/>
    <w:rsid w:val="00232FAD"/>
    <w:rsid w:val="002339E8"/>
    <w:rsid w:val="00233F8A"/>
    <w:rsid w:val="00234340"/>
    <w:rsid w:val="00235538"/>
    <w:rsid w:val="00236318"/>
    <w:rsid w:val="00236FB8"/>
    <w:rsid w:val="002409CA"/>
    <w:rsid w:val="00240A9A"/>
    <w:rsid w:val="002410D7"/>
    <w:rsid w:val="0024110F"/>
    <w:rsid w:val="002413D4"/>
    <w:rsid w:val="00241D84"/>
    <w:rsid w:val="00242202"/>
    <w:rsid w:val="002424B5"/>
    <w:rsid w:val="00242A4C"/>
    <w:rsid w:val="002431C0"/>
    <w:rsid w:val="002432A1"/>
    <w:rsid w:val="002442CD"/>
    <w:rsid w:val="00244892"/>
    <w:rsid w:val="00245505"/>
    <w:rsid w:val="00245B70"/>
    <w:rsid w:val="00245DC2"/>
    <w:rsid w:val="002461F1"/>
    <w:rsid w:val="002463C3"/>
    <w:rsid w:val="002472CB"/>
    <w:rsid w:val="0024745B"/>
    <w:rsid w:val="0025167E"/>
    <w:rsid w:val="00251A61"/>
    <w:rsid w:val="00251DE6"/>
    <w:rsid w:val="00254B5B"/>
    <w:rsid w:val="0025539F"/>
    <w:rsid w:val="0025593E"/>
    <w:rsid w:val="00255DC8"/>
    <w:rsid w:val="00257EEE"/>
    <w:rsid w:val="002606C1"/>
    <w:rsid w:val="00261168"/>
    <w:rsid w:val="002616BB"/>
    <w:rsid w:val="00261731"/>
    <w:rsid w:val="00262413"/>
    <w:rsid w:val="002629E0"/>
    <w:rsid w:val="00262A4D"/>
    <w:rsid w:val="00263869"/>
    <w:rsid w:val="0026425F"/>
    <w:rsid w:val="00264877"/>
    <w:rsid w:val="00264B34"/>
    <w:rsid w:val="00264D6C"/>
    <w:rsid w:val="00265D97"/>
    <w:rsid w:val="0026629A"/>
    <w:rsid w:val="00266462"/>
    <w:rsid w:val="00270333"/>
    <w:rsid w:val="002715A9"/>
    <w:rsid w:val="00271E6C"/>
    <w:rsid w:val="0027269E"/>
    <w:rsid w:val="002727DD"/>
    <w:rsid w:val="00273574"/>
    <w:rsid w:val="0027557E"/>
    <w:rsid w:val="00277CAC"/>
    <w:rsid w:val="00280833"/>
    <w:rsid w:val="00281239"/>
    <w:rsid w:val="00282408"/>
    <w:rsid w:val="002833F8"/>
    <w:rsid w:val="00283AAE"/>
    <w:rsid w:val="002841F1"/>
    <w:rsid w:val="0028451D"/>
    <w:rsid w:val="00284D8C"/>
    <w:rsid w:val="002856AA"/>
    <w:rsid w:val="00285A46"/>
    <w:rsid w:val="0028665A"/>
    <w:rsid w:val="002871FF"/>
    <w:rsid w:val="00287479"/>
    <w:rsid w:val="00287BF6"/>
    <w:rsid w:val="00287DC5"/>
    <w:rsid w:val="002901D8"/>
    <w:rsid w:val="0029040E"/>
    <w:rsid w:val="00291574"/>
    <w:rsid w:val="00291778"/>
    <w:rsid w:val="00291FF6"/>
    <w:rsid w:val="002922DA"/>
    <w:rsid w:val="0029413D"/>
    <w:rsid w:val="00295980"/>
    <w:rsid w:val="00295B13"/>
    <w:rsid w:val="0029605D"/>
    <w:rsid w:val="002960C6"/>
    <w:rsid w:val="002960DC"/>
    <w:rsid w:val="002A06E7"/>
    <w:rsid w:val="002A07E3"/>
    <w:rsid w:val="002A1BF5"/>
    <w:rsid w:val="002A1C00"/>
    <w:rsid w:val="002A1EF7"/>
    <w:rsid w:val="002A255C"/>
    <w:rsid w:val="002A2B9E"/>
    <w:rsid w:val="002A5068"/>
    <w:rsid w:val="002A5636"/>
    <w:rsid w:val="002A5F7C"/>
    <w:rsid w:val="002A60C9"/>
    <w:rsid w:val="002A7A0C"/>
    <w:rsid w:val="002B0880"/>
    <w:rsid w:val="002B0CD7"/>
    <w:rsid w:val="002B1125"/>
    <w:rsid w:val="002B25DA"/>
    <w:rsid w:val="002B280B"/>
    <w:rsid w:val="002B3CF2"/>
    <w:rsid w:val="002B3EA3"/>
    <w:rsid w:val="002B492D"/>
    <w:rsid w:val="002B4B8B"/>
    <w:rsid w:val="002B4F5F"/>
    <w:rsid w:val="002B6493"/>
    <w:rsid w:val="002B65B7"/>
    <w:rsid w:val="002B7FA1"/>
    <w:rsid w:val="002C006B"/>
    <w:rsid w:val="002C1DE0"/>
    <w:rsid w:val="002C21C2"/>
    <w:rsid w:val="002C2C9B"/>
    <w:rsid w:val="002C3969"/>
    <w:rsid w:val="002C4422"/>
    <w:rsid w:val="002C5A91"/>
    <w:rsid w:val="002C71E0"/>
    <w:rsid w:val="002D03E7"/>
    <w:rsid w:val="002D1590"/>
    <w:rsid w:val="002D16CE"/>
    <w:rsid w:val="002D303E"/>
    <w:rsid w:val="002D329B"/>
    <w:rsid w:val="002D3B54"/>
    <w:rsid w:val="002D402B"/>
    <w:rsid w:val="002D4977"/>
    <w:rsid w:val="002D610C"/>
    <w:rsid w:val="002D645F"/>
    <w:rsid w:val="002D7193"/>
    <w:rsid w:val="002D7567"/>
    <w:rsid w:val="002D79B5"/>
    <w:rsid w:val="002E0E9A"/>
    <w:rsid w:val="002E21A9"/>
    <w:rsid w:val="002E2FEA"/>
    <w:rsid w:val="002E4092"/>
    <w:rsid w:val="002E48A9"/>
    <w:rsid w:val="002E4DC3"/>
    <w:rsid w:val="002E54C2"/>
    <w:rsid w:val="002E6389"/>
    <w:rsid w:val="002E77B9"/>
    <w:rsid w:val="002F09AE"/>
    <w:rsid w:val="002F13B6"/>
    <w:rsid w:val="002F2508"/>
    <w:rsid w:val="002F2C14"/>
    <w:rsid w:val="002F4A69"/>
    <w:rsid w:val="002F4B12"/>
    <w:rsid w:val="002F4B29"/>
    <w:rsid w:val="002F5974"/>
    <w:rsid w:val="002F60E0"/>
    <w:rsid w:val="002F63EC"/>
    <w:rsid w:val="002F702E"/>
    <w:rsid w:val="003007A7"/>
    <w:rsid w:val="00300AAB"/>
    <w:rsid w:val="00300BB2"/>
    <w:rsid w:val="003019DC"/>
    <w:rsid w:val="00302A0F"/>
    <w:rsid w:val="00303441"/>
    <w:rsid w:val="00303A13"/>
    <w:rsid w:val="00304452"/>
    <w:rsid w:val="0030496B"/>
    <w:rsid w:val="00304B72"/>
    <w:rsid w:val="00304FC5"/>
    <w:rsid w:val="0030506A"/>
    <w:rsid w:val="003052B5"/>
    <w:rsid w:val="003053E5"/>
    <w:rsid w:val="00305872"/>
    <w:rsid w:val="00305D31"/>
    <w:rsid w:val="003061EF"/>
    <w:rsid w:val="0030635C"/>
    <w:rsid w:val="00306B3E"/>
    <w:rsid w:val="003073AC"/>
    <w:rsid w:val="00307A7F"/>
    <w:rsid w:val="00310AAB"/>
    <w:rsid w:val="003127A6"/>
    <w:rsid w:val="00312DB4"/>
    <w:rsid w:val="0031360A"/>
    <w:rsid w:val="00314AF7"/>
    <w:rsid w:val="003163DC"/>
    <w:rsid w:val="003176C7"/>
    <w:rsid w:val="00317D09"/>
    <w:rsid w:val="00317DDB"/>
    <w:rsid w:val="00317F41"/>
    <w:rsid w:val="0032026D"/>
    <w:rsid w:val="00320A1D"/>
    <w:rsid w:val="00320E44"/>
    <w:rsid w:val="00322727"/>
    <w:rsid w:val="00322892"/>
    <w:rsid w:val="003230A2"/>
    <w:rsid w:val="003231EE"/>
    <w:rsid w:val="0032783E"/>
    <w:rsid w:val="00327C19"/>
    <w:rsid w:val="00327EF4"/>
    <w:rsid w:val="003309B0"/>
    <w:rsid w:val="00330FB3"/>
    <w:rsid w:val="0033132C"/>
    <w:rsid w:val="00331446"/>
    <w:rsid w:val="00331E33"/>
    <w:rsid w:val="00332429"/>
    <w:rsid w:val="00332B70"/>
    <w:rsid w:val="00332BB4"/>
    <w:rsid w:val="00333068"/>
    <w:rsid w:val="00333ED2"/>
    <w:rsid w:val="00334377"/>
    <w:rsid w:val="00335F7B"/>
    <w:rsid w:val="00336062"/>
    <w:rsid w:val="00336251"/>
    <w:rsid w:val="003370F2"/>
    <w:rsid w:val="00337306"/>
    <w:rsid w:val="0034153B"/>
    <w:rsid w:val="00342105"/>
    <w:rsid w:val="00342D09"/>
    <w:rsid w:val="00343B23"/>
    <w:rsid w:val="00343CC3"/>
    <w:rsid w:val="00343D32"/>
    <w:rsid w:val="003446B7"/>
    <w:rsid w:val="00344968"/>
    <w:rsid w:val="00345472"/>
    <w:rsid w:val="00345AD0"/>
    <w:rsid w:val="00346AE5"/>
    <w:rsid w:val="00347262"/>
    <w:rsid w:val="00347A73"/>
    <w:rsid w:val="003501B2"/>
    <w:rsid w:val="00350376"/>
    <w:rsid w:val="00351422"/>
    <w:rsid w:val="0035164D"/>
    <w:rsid w:val="0035324D"/>
    <w:rsid w:val="003533CC"/>
    <w:rsid w:val="003545BC"/>
    <w:rsid w:val="00354FCC"/>
    <w:rsid w:val="00355270"/>
    <w:rsid w:val="003567C4"/>
    <w:rsid w:val="00356D85"/>
    <w:rsid w:val="0035753F"/>
    <w:rsid w:val="00360A6F"/>
    <w:rsid w:val="00361219"/>
    <w:rsid w:val="00361AE8"/>
    <w:rsid w:val="00361F7A"/>
    <w:rsid w:val="00362281"/>
    <w:rsid w:val="00363A79"/>
    <w:rsid w:val="003648C4"/>
    <w:rsid w:val="003656DB"/>
    <w:rsid w:val="003657F8"/>
    <w:rsid w:val="003662AE"/>
    <w:rsid w:val="00366BCC"/>
    <w:rsid w:val="0036742D"/>
    <w:rsid w:val="00367B21"/>
    <w:rsid w:val="00370B00"/>
    <w:rsid w:val="00371D21"/>
    <w:rsid w:val="00372273"/>
    <w:rsid w:val="00372A5E"/>
    <w:rsid w:val="00375D39"/>
    <w:rsid w:val="00376337"/>
    <w:rsid w:val="003763D2"/>
    <w:rsid w:val="003764D5"/>
    <w:rsid w:val="003768F9"/>
    <w:rsid w:val="00376F25"/>
    <w:rsid w:val="00377C23"/>
    <w:rsid w:val="00380879"/>
    <w:rsid w:val="003809F0"/>
    <w:rsid w:val="00380F5A"/>
    <w:rsid w:val="003816F0"/>
    <w:rsid w:val="00381EA0"/>
    <w:rsid w:val="00381F02"/>
    <w:rsid w:val="00383DFB"/>
    <w:rsid w:val="00383F9D"/>
    <w:rsid w:val="00385E88"/>
    <w:rsid w:val="00385F21"/>
    <w:rsid w:val="003860A8"/>
    <w:rsid w:val="00386217"/>
    <w:rsid w:val="00387825"/>
    <w:rsid w:val="00387D5A"/>
    <w:rsid w:val="0039026B"/>
    <w:rsid w:val="00392625"/>
    <w:rsid w:val="003927E3"/>
    <w:rsid w:val="00392CF2"/>
    <w:rsid w:val="0039331A"/>
    <w:rsid w:val="00393D4C"/>
    <w:rsid w:val="00393D60"/>
    <w:rsid w:val="00394751"/>
    <w:rsid w:val="00394B08"/>
    <w:rsid w:val="00394CA7"/>
    <w:rsid w:val="00395DC0"/>
    <w:rsid w:val="003960F4"/>
    <w:rsid w:val="003962C9"/>
    <w:rsid w:val="00396555"/>
    <w:rsid w:val="003969D1"/>
    <w:rsid w:val="003971E4"/>
    <w:rsid w:val="00397A51"/>
    <w:rsid w:val="003A00E9"/>
    <w:rsid w:val="003A26B6"/>
    <w:rsid w:val="003A2791"/>
    <w:rsid w:val="003A3827"/>
    <w:rsid w:val="003A40F2"/>
    <w:rsid w:val="003A48D9"/>
    <w:rsid w:val="003A50D5"/>
    <w:rsid w:val="003A5E40"/>
    <w:rsid w:val="003A7249"/>
    <w:rsid w:val="003A7D6E"/>
    <w:rsid w:val="003B03AD"/>
    <w:rsid w:val="003B0941"/>
    <w:rsid w:val="003B09F6"/>
    <w:rsid w:val="003B0FBF"/>
    <w:rsid w:val="003B1697"/>
    <w:rsid w:val="003B187E"/>
    <w:rsid w:val="003B1DE7"/>
    <w:rsid w:val="003B1EC0"/>
    <w:rsid w:val="003B2FB0"/>
    <w:rsid w:val="003B3E35"/>
    <w:rsid w:val="003B431C"/>
    <w:rsid w:val="003B4613"/>
    <w:rsid w:val="003B4F39"/>
    <w:rsid w:val="003B5035"/>
    <w:rsid w:val="003B6105"/>
    <w:rsid w:val="003B6968"/>
    <w:rsid w:val="003B6CBD"/>
    <w:rsid w:val="003B7538"/>
    <w:rsid w:val="003C0F0B"/>
    <w:rsid w:val="003C1759"/>
    <w:rsid w:val="003C1987"/>
    <w:rsid w:val="003C2B0B"/>
    <w:rsid w:val="003C312D"/>
    <w:rsid w:val="003C33BE"/>
    <w:rsid w:val="003C41A5"/>
    <w:rsid w:val="003C48F4"/>
    <w:rsid w:val="003C4D9D"/>
    <w:rsid w:val="003C68FC"/>
    <w:rsid w:val="003C6B3A"/>
    <w:rsid w:val="003C6C86"/>
    <w:rsid w:val="003C7C4E"/>
    <w:rsid w:val="003D0D5C"/>
    <w:rsid w:val="003D16C4"/>
    <w:rsid w:val="003D1784"/>
    <w:rsid w:val="003D1FEF"/>
    <w:rsid w:val="003D2779"/>
    <w:rsid w:val="003D2C33"/>
    <w:rsid w:val="003D4EA3"/>
    <w:rsid w:val="003D6003"/>
    <w:rsid w:val="003D7E87"/>
    <w:rsid w:val="003E0086"/>
    <w:rsid w:val="003E023D"/>
    <w:rsid w:val="003E175B"/>
    <w:rsid w:val="003E34F7"/>
    <w:rsid w:val="003E433F"/>
    <w:rsid w:val="003E4462"/>
    <w:rsid w:val="003E5949"/>
    <w:rsid w:val="003E5AA1"/>
    <w:rsid w:val="003F09CE"/>
    <w:rsid w:val="003F10ED"/>
    <w:rsid w:val="003F286B"/>
    <w:rsid w:val="003F3153"/>
    <w:rsid w:val="003F3351"/>
    <w:rsid w:val="003F4FD6"/>
    <w:rsid w:val="003F56CE"/>
    <w:rsid w:val="003F5DC6"/>
    <w:rsid w:val="003F6530"/>
    <w:rsid w:val="003F68EC"/>
    <w:rsid w:val="003F6CDB"/>
    <w:rsid w:val="00400B0F"/>
    <w:rsid w:val="00401198"/>
    <w:rsid w:val="00403E78"/>
    <w:rsid w:val="00404379"/>
    <w:rsid w:val="00404533"/>
    <w:rsid w:val="00404D20"/>
    <w:rsid w:val="00404E54"/>
    <w:rsid w:val="0040545A"/>
    <w:rsid w:val="0040575B"/>
    <w:rsid w:val="00405C8B"/>
    <w:rsid w:val="00406439"/>
    <w:rsid w:val="004067B0"/>
    <w:rsid w:val="00406D54"/>
    <w:rsid w:val="00407507"/>
    <w:rsid w:val="0041147E"/>
    <w:rsid w:val="00412CCF"/>
    <w:rsid w:val="00412CF0"/>
    <w:rsid w:val="00412EDE"/>
    <w:rsid w:val="00413291"/>
    <w:rsid w:val="00413C2D"/>
    <w:rsid w:val="00413EBE"/>
    <w:rsid w:val="00414465"/>
    <w:rsid w:val="00415FDA"/>
    <w:rsid w:val="0041759A"/>
    <w:rsid w:val="004176F9"/>
    <w:rsid w:val="00420006"/>
    <w:rsid w:val="00420A35"/>
    <w:rsid w:val="0042103B"/>
    <w:rsid w:val="004212DF"/>
    <w:rsid w:val="00421CBE"/>
    <w:rsid w:val="00422252"/>
    <w:rsid w:val="004228A3"/>
    <w:rsid w:val="004230BF"/>
    <w:rsid w:val="00424FD7"/>
    <w:rsid w:val="00425C1D"/>
    <w:rsid w:val="00425DB0"/>
    <w:rsid w:val="00426628"/>
    <w:rsid w:val="00426F38"/>
    <w:rsid w:val="00433441"/>
    <w:rsid w:val="00433E5F"/>
    <w:rsid w:val="0043480E"/>
    <w:rsid w:val="00434C1A"/>
    <w:rsid w:val="004351E1"/>
    <w:rsid w:val="00435351"/>
    <w:rsid w:val="004354F6"/>
    <w:rsid w:val="0043691E"/>
    <w:rsid w:val="0043768D"/>
    <w:rsid w:val="00440328"/>
    <w:rsid w:val="004404DB"/>
    <w:rsid w:val="004411BE"/>
    <w:rsid w:val="004417DE"/>
    <w:rsid w:val="004418CB"/>
    <w:rsid w:val="00441BD3"/>
    <w:rsid w:val="00441FE5"/>
    <w:rsid w:val="004435D9"/>
    <w:rsid w:val="00443BEC"/>
    <w:rsid w:val="004445DB"/>
    <w:rsid w:val="00444748"/>
    <w:rsid w:val="004453BD"/>
    <w:rsid w:val="004455A7"/>
    <w:rsid w:val="00447A0E"/>
    <w:rsid w:val="00450F58"/>
    <w:rsid w:val="0045112B"/>
    <w:rsid w:val="00453F64"/>
    <w:rsid w:val="004540E1"/>
    <w:rsid w:val="00454148"/>
    <w:rsid w:val="00454342"/>
    <w:rsid w:val="00454629"/>
    <w:rsid w:val="00455666"/>
    <w:rsid w:val="00455671"/>
    <w:rsid w:val="00455761"/>
    <w:rsid w:val="00455767"/>
    <w:rsid w:val="00457770"/>
    <w:rsid w:val="0046022B"/>
    <w:rsid w:val="00460895"/>
    <w:rsid w:val="00460E14"/>
    <w:rsid w:val="00461256"/>
    <w:rsid w:val="00461745"/>
    <w:rsid w:val="00462E94"/>
    <w:rsid w:val="004653DC"/>
    <w:rsid w:val="004661B3"/>
    <w:rsid w:val="00466358"/>
    <w:rsid w:val="00466381"/>
    <w:rsid w:val="00466C35"/>
    <w:rsid w:val="0046767F"/>
    <w:rsid w:val="00467ED9"/>
    <w:rsid w:val="00470FBB"/>
    <w:rsid w:val="00470FCC"/>
    <w:rsid w:val="0047253D"/>
    <w:rsid w:val="00472BDF"/>
    <w:rsid w:val="00472FC9"/>
    <w:rsid w:val="004733B2"/>
    <w:rsid w:val="00473695"/>
    <w:rsid w:val="00473955"/>
    <w:rsid w:val="0047395E"/>
    <w:rsid w:val="004739BE"/>
    <w:rsid w:val="00473AF0"/>
    <w:rsid w:val="0047488B"/>
    <w:rsid w:val="00474F2A"/>
    <w:rsid w:val="0047575A"/>
    <w:rsid w:val="00476495"/>
    <w:rsid w:val="00476659"/>
    <w:rsid w:val="004777BD"/>
    <w:rsid w:val="00477981"/>
    <w:rsid w:val="004779F8"/>
    <w:rsid w:val="00477D82"/>
    <w:rsid w:val="00482859"/>
    <w:rsid w:val="004829D9"/>
    <w:rsid w:val="00482C9A"/>
    <w:rsid w:val="0048370E"/>
    <w:rsid w:val="004838E6"/>
    <w:rsid w:val="004840F2"/>
    <w:rsid w:val="00484942"/>
    <w:rsid w:val="004849EA"/>
    <w:rsid w:val="00485121"/>
    <w:rsid w:val="00485214"/>
    <w:rsid w:val="0048638B"/>
    <w:rsid w:val="004869AA"/>
    <w:rsid w:val="00487C2E"/>
    <w:rsid w:val="0049029A"/>
    <w:rsid w:val="00490767"/>
    <w:rsid w:val="004908F7"/>
    <w:rsid w:val="00490A8E"/>
    <w:rsid w:val="004922FB"/>
    <w:rsid w:val="0049279E"/>
    <w:rsid w:val="00492893"/>
    <w:rsid w:val="0049418E"/>
    <w:rsid w:val="0049485F"/>
    <w:rsid w:val="004962BA"/>
    <w:rsid w:val="00496C86"/>
    <w:rsid w:val="00496D4B"/>
    <w:rsid w:val="00497053"/>
    <w:rsid w:val="00497411"/>
    <w:rsid w:val="004A0E0C"/>
    <w:rsid w:val="004A127C"/>
    <w:rsid w:val="004A154E"/>
    <w:rsid w:val="004A15A3"/>
    <w:rsid w:val="004A176E"/>
    <w:rsid w:val="004A1E52"/>
    <w:rsid w:val="004A1E60"/>
    <w:rsid w:val="004A33E7"/>
    <w:rsid w:val="004A3757"/>
    <w:rsid w:val="004A3AFF"/>
    <w:rsid w:val="004A4279"/>
    <w:rsid w:val="004A454B"/>
    <w:rsid w:val="004A4775"/>
    <w:rsid w:val="004A5231"/>
    <w:rsid w:val="004A5390"/>
    <w:rsid w:val="004A65A6"/>
    <w:rsid w:val="004A74AC"/>
    <w:rsid w:val="004A7B26"/>
    <w:rsid w:val="004B03E3"/>
    <w:rsid w:val="004B0918"/>
    <w:rsid w:val="004B1DED"/>
    <w:rsid w:val="004B26D9"/>
    <w:rsid w:val="004B2BD6"/>
    <w:rsid w:val="004B2DB8"/>
    <w:rsid w:val="004B32F0"/>
    <w:rsid w:val="004B46F3"/>
    <w:rsid w:val="004B4EAD"/>
    <w:rsid w:val="004B4F92"/>
    <w:rsid w:val="004B5018"/>
    <w:rsid w:val="004B53B8"/>
    <w:rsid w:val="004B54A5"/>
    <w:rsid w:val="004B5B82"/>
    <w:rsid w:val="004B7265"/>
    <w:rsid w:val="004B7635"/>
    <w:rsid w:val="004C0CFA"/>
    <w:rsid w:val="004C189F"/>
    <w:rsid w:val="004C2232"/>
    <w:rsid w:val="004C35A1"/>
    <w:rsid w:val="004C4882"/>
    <w:rsid w:val="004C4F94"/>
    <w:rsid w:val="004C581E"/>
    <w:rsid w:val="004D07B6"/>
    <w:rsid w:val="004D0854"/>
    <w:rsid w:val="004D1137"/>
    <w:rsid w:val="004D201E"/>
    <w:rsid w:val="004D31D1"/>
    <w:rsid w:val="004D3CE7"/>
    <w:rsid w:val="004D3DE3"/>
    <w:rsid w:val="004D41E9"/>
    <w:rsid w:val="004D4943"/>
    <w:rsid w:val="004D4EC1"/>
    <w:rsid w:val="004D53A3"/>
    <w:rsid w:val="004D56DA"/>
    <w:rsid w:val="004D5872"/>
    <w:rsid w:val="004D6F1D"/>
    <w:rsid w:val="004D7AB7"/>
    <w:rsid w:val="004E06E6"/>
    <w:rsid w:val="004E0BDC"/>
    <w:rsid w:val="004E0F6F"/>
    <w:rsid w:val="004E171D"/>
    <w:rsid w:val="004E17C6"/>
    <w:rsid w:val="004E2CB0"/>
    <w:rsid w:val="004E2FC1"/>
    <w:rsid w:val="004E300E"/>
    <w:rsid w:val="004E3B5B"/>
    <w:rsid w:val="004E438E"/>
    <w:rsid w:val="004E4550"/>
    <w:rsid w:val="004E4E14"/>
    <w:rsid w:val="004E6394"/>
    <w:rsid w:val="004E657F"/>
    <w:rsid w:val="004E65F6"/>
    <w:rsid w:val="004E7279"/>
    <w:rsid w:val="004E73E2"/>
    <w:rsid w:val="004E77D1"/>
    <w:rsid w:val="004E7A6A"/>
    <w:rsid w:val="004F2707"/>
    <w:rsid w:val="004F2788"/>
    <w:rsid w:val="004F28CB"/>
    <w:rsid w:val="004F2F92"/>
    <w:rsid w:val="004F3DD6"/>
    <w:rsid w:val="004F3FEC"/>
    <w:rsid w:val="004F434C"/>
    <w:rsid w:val="004F5A75"/>
    <w:rsid w:val="004F6642"/>
    <w:rsid w:val="004F6A48"/>
    <w:rsid w:val="004F7DE4"/>
    <w:rsid w:val="004F7FDA"/>
    <w:rsid w:val="005005FA"/>
    <w:rsid w:val="00500B6D"/>
    <w:rsid w:val="00500CB9"/>
    <w:rsid w:val="005011BE"/>
    <w:rsid w:val="00501C9A"/>
    <w:rsid w:val="00502173"/>
    <w:rsid w:val="00502CCD"/>
    <w:rsid w:val="005033AC"/>
    <w:rsid w:val="00503A3A"/>
    <w:rsid w:val="00503DFB"/>
    <w:rsid w:val="00504B6B"/>
    <w:rsid w:val="00504F2F"/>
    <w:rsid w:val="00504FA2"/>
    <w:rsid w:val="00505A24"/>
    <w:rsid w:val="00505AB7"/>
    <w:rsid w:val="00505C92"/>
    <w:rsid w:val="00506EB4"/>
    <w:rsid w:val="00507C30"/>
    <w:rsid w:val="00510A39"/>
    <w:rsid w:val="0051124E"/>
    <w:rsid w:val="005132A2"/>
    <w:rsid w:val="00513BA0"/>
    <w:rsid w:val="0051535B"/>
    <w:rsid w:val="00515BD9"/>
    <w:rsid w:val="00515EB6"/>
    <w:rsid w:val="00520705"/>
    <w:rsid w:val="005208CC"/>
    <w:rsid w:val="00520A17"/>
    <w:rsid w:val="00520D66"/>
    <w:rsid w:val="00520FA6"/>
    <w:rsid w:val="005218CC"/>
    <w:rsid w:val="00521FF4"/>
    <w:rsid w:val="0052201A"/>
    <w:rsid w:val="005222FF"/>
    <w:rsid w:val="00522FA3"/>
    <w:rsid w:val="0052325B"/>
    <w:rsid w:val="0052363A"/>
    <w:rsid w:val="00523B79"/>
    <w:rsid w:val="005242D3"/>
    <w:rsid w:val="00524431"/>
    <w:rsid w:val="00524AB3"/>
    <w:rsid w:val="00524B3A"/>
    <w:rsid w:val="00524D9A"/>
    <w:rsid w:val="0052510A"/>
    <w:rsid w:val="00525674"/>
    <w:rsid w:val="00525750"/>
    <w:rsid w:val="005261EC"/>
    <w:rsid w:val="00526D38"/>
    <w:rsid w:val="00526E69"/>
    <w:rsid w:val="00527F53"/>
    <w:rsid w:val="00527FB9"/>
    <w:rsid w:val="00530E10"/>
    <w:rsid w:val="00531BC0"/>
    <w:rsid w:val="00532083"/>
    <w:rsid w:val="0053257C"/>
    <w:rsid w:val="0053263C"/>
    <w:rsid w:val="005328E3"/>
    <w:rsid w:val="0053377A"/>
    <w:rsid w:val="0053390F"/>
    <w:rsid w:val="005345D7"/>
    <w:rsid w:val="00535A9C"/>
    <w:rsid w:val="00535DB5"/>
    <w:rsid w:val="00536277"/>
    <w:rsid w:val="00536374"/>
    <w:rsid w:val="0053737B"/>
    <w:rsid w:val="00537E0C"/>
    <w:rsid w:val="005403A8"/>
    <w:rsid w:val="005407CA"/>
    <w:rsid w:val="00540822"/>
    <w:rsid w:val="00540D73"/>
    <w:rsid w:val="00541B78"/>
    <w:rsid w:val="00541DBF"/>
    <w:rsid w:val="00541F56"/>
    <w:rsid w:val="00542264"/>
    <w:rsid w:val="005429A2"/>
    <w:rsid w:val="00542DD1"/>
    <w:rsid w:val="00543250"/>
    <w:rsid w:val="005434E0"/>
    <w:rsid w:val="0054386C"/>
    <w:rsid w:val="00543A8B"/>
    <w:rsid w:val="00543BE9"/>
    <w:rsid w:val="00544F00"/>
    <w:rsid w:val="005460E7"/>
    <w:rsid w:val="005465CE"/>
    <w:rsid w:val="005476FE"/>
    <w:rsid w:val="005500C6"/>
    <w:rsid w:val="00551416"/>
    <w:rsid w:val="0055291C"/>
    <w:rsid w:val="005539B8"/>
    <w:rsid w:val="00553C55"/>
    <w:rsid w:val="005545E2"/>
    <w:rsid w:val="00555C8E"/>
    <w:rsid w:val="00560B11"/>
    <w:rsid w:val="00561FCA"/>
    <w:rsid w:val="00561FF3"/>
    <w:rsid w:val="005625D9"/>
    <w:rsid w:val="0056266B"/>
    <w:rsid w:val="005628BE"/>
    <w:rsid w:val="00562BE0"/>
    <w:rsid w:val="0056416C"/>
    <w:rsid w:val="0056453C"/>
    <w:rsid w:val="00564D12"/>
    <w:rsid w:val="00565191"/>
    <w:rsid w:val="00565456"/>
    <w:rsid w:val="00565A0E"/>
    <w:rsid w:val="00565D7F"/>
    <w:rsid w:val="00565FFB"/>
    <w:rsid w:val="00566023"/>
    <w:rsid w:val="005662A1"/>
    <w:rsid w:val="005664E1"/>
    <w:rsid w:val="0056681B"/>
    <w:rsid w:val="0056690B"/>
    <w:rsid w:val="00567183"/>
    <w:rsid w:val="00567F30"/>
    <w:rsid w:val="005703B5"/>
    <w:rsid w:val="00571026"/>
    <w:rsid w:val="0057216B"/>
    <w:rsid w:val="005721F8"/>
    <w:rsid w:val="005723A5"/>
    <w:rsid w:val="0057255B"/>
    <w:rsid w:val="00572A9A"/>
    <w:rsid w:val="00572F79"/>
    <w:rsid w:val="005732CA"/>
    <w:rsid w:val="005736E8"/>
    <w:rsid w:val="00573710"/>
    <w:rsid w:val="005737A1"/>
    <w:rsid w:val="005740B7"/>
    <w:rsid w:val="00574337"/>
    <w:rsid w:val="0057589F"/>
    <w:rsid w:val="00576C52"/>
    <w:rsid w:val="00576D37"/>
    <w:rsid w:val="00580A1E"/>
    <w:rsid w:val="005810C6"/>
    <w:rsid w:val="00581908"/>
    <w:rsid w:val="005824CA"/>
    <w:rsid w:val="00582B05"/>
    <w:rsid w:val="00582C4C"/>
    <w:rsid w:val="005832F6"/>
    <w:rsid w:val="005835D5"/>
    <w:rsid w:val="00583B39"/>
    <w:rsid w:val="00583C5A"/>
    <w:rsid w:val="00583D50"/>
    <w:rsid w:val="00584249"/>
    <w:rsid w:val="00584B6D"/>
    <w:rsid w:val="005855DC"/>
    <w:rsid w:val="0058667D"/>
    <w:rsid w:val="005872AC"/>
    <w:rsid w:val="005912E5"/>
    <w:rsid w:val="005916BB"/>
    <w:rsid w:val="00591870"/>
    <w:rsid w:val="005918FC"/>
    <w:rsid w:val="00592A10"/>
    <w:rsid w:val="00593A52"/>
    <w:rsid w:val="0059406F"/>
    <w:rsid w:val="00594802"/>
    <w:rsid w:val="00594945"/>
    <w:rsid w:val="0059563E"/>
    <w:rsid w:val="00595857"/>
    <w:rsid w:val="00595C84"/>
    <w:rsid w:val="00596298"/>
    <w:rsid w:val="00596353"/>
    <w:rsid w:val="005964CB"/>
    <w:rsid w:val="00596AB8"/>
    <w:rsid w:val="005A040B"/>
    <w:rsid w:val="005A1183"/>
    <w:rsid w:val="005A1341"/>
    <w:rsid w:val="005A1F23"/>
    <w:rsid w:val="005A33DA"/>
    <w:rsid w:val="005A3DCA"/>
    <w:rsid w:val="005A3FF9"/>
    <w:rsid w:val="005A5023"/>
    <w:rsid w:val="005A564F"/>
    <w:rsid w:val="005A7239"/>
    <w:rsid w:val="005A7B1F"/>
    <w:rsid w:val="005B083C"/>
    <w:rsid w:val="005B1448"/>
    <w:rsid w:val="005B14FA"/>
    <w:rsid w:val="005B2CDD"/>
    <w:rsid w:val="005B2E61"/>
    <w:rsid w:val="005B3F5F"/>
    <w:rsid w:val="005B404D"/>
    <w:rsid w:val="005B41D2"/>
    <w:rsid w:val="005B4722"/>
    <w:rsid w:val="005B5146"/>
    <w:rsid w:val="005B53DC"/>
    <w:rsid w:val="005B65F0"/>
    <w:rsid w:val="005B6E63"/>
    <w:rsid w:val="005B73F3"/>
    <w:rsid w:val="005B7F17"/>
    <w:rsid w:val="005B7FD8"/>
    <w:rsid w:val="005C01E8"/>
    <w:rsid w:val="005C0F0F"/>
    <w:rsid w:val="005C1665"/>
    <w:rsid w:val="005C2F4D"/>
    <w:rsid w:val="005C35C7"/>
    <w:rsid w:val="005C3850"/>
    <w:rsid w:val="005C3E47"/>
    <w:rsid w:val="005C3E80"/>
    <w:rsid w:val="005C3F19"/>
    <w:rsid w:val="005C4DA1"/>
    <w:rsid w:val="005C58B7"/>
    <w:rsid w:val="005C6D34"/>
    <w:rsid w:val="005D1331"/>
    <w:rsid w:val="005D138D"/>
    <w:rsid w:val="005D1C65"/>
    <w:rsid w:val="005D22C7"/>
    <w:rsid w:val="005D25FB"/>
    <w:rsid w:val="005D2E7F"/>
    <w:rsid w:val="005D303E"/>
    <w:rsid w:val="005D3071"/>
    <w:rsid w:val="005D3A44"/>
    <w:rsid w:val="005D3FE8"/>
    <w:rsid w:val="005D51C8"/>
    <w:rsid w:val="005D729E"/>
    <w:rsid w:val="005D7428"/>
    <w:rsid w:val="005D7588"/>
    <w:rsid w:val="005D79F2"/>
    <w:rsid w:val="005E0BD4"/>
    <w:rsid w:val="005E0EEA"/>
    <w:rsid w:val="005E1110"/>
    <w:rsid w:val="005E16BC"/>
    <w:rsid w:val="005E2152"/>
    <w:rsid w:val="005E3BCF"/>
    <w:rsid w:val="005E3EA9"/>
    <w:rsid w:val="005E574D"/>
    <w:rsid w:val="005E5859"/>
    <w:rsid w:val="005E5EFB"/>
    <w:rsid w:val="005E5FF8"/>
    <w:rsid w:val="005F0141"/>
    <w:rsid w:val="005F0CAD"/>
    <w:rsid w:val="005F15FE"/>
    <w:rsid w:val="005F1B48"/>
    <w:rsid w:val="005F25E7"/>
    <w:rsid w:val="005F39DE"/>
    <w:rsid w:val="005F3FB2"/>
    <w:rsid w:val="005F50D5"/>
    <w:rsid w:val="005F50EE"/>
    <w:rsid w:val="005F585D"/>
    <w:rsid w:val="005F5C89"/>
    <w:rsid w:val="005F7F5F"/>
    <w:rsid w:val="00600472"/>
    <w:rsid w:val="00600C9F"/>
    <w:rsid w:val="006011D6"/>
    <w:rsid w:val="00601314"/>
    <w:rsid w:val="006014E0"/>
    <w:rsid w:val="006017B2"/>
    <w:rsid w:val="006026B7"/>
    <w:rsid w:val="006029A6"/>
    <w:rsid w:val="00602B12"/>
    <w:rsid w:val="00602B18"/>
    <w:rsid w:val="00602EBF"/>
    <w:rsid w:val="006049D1"/>
    <w:rsid w:val="0060596B"/>
    <w:rsid w:val="00606928"/>
    <w:rsid w:val="0060700B"/>
    <w:rsid w:val="0060717E"/>
    <w:rsid w:val="00610335"/>
    <w:rsid w:val="00610667"/>
    <w:rsid w:val="006114AE"/>
    <w:rsid w:val="0061178D"/>
    <w:rsid w:val="006124E8"/>
    <w:rsid w:val="00612FD7"/>
    <w:rsid w:val="00616468"/>
    <w:rsid w:val="00616C27"/>
    <w:rsid w:val="00616CA6"/>
    <w:rsid w:val="00616E39"/>
    <w:rsid w:val="00617CC9"/>
    <w:rsid w:val="006205E9"/>
    <w:rsid w:val="00621A22"/>
    <w:rsid w:val="006221EB"/>
    <w:rsid w:val="00622238"/>
    <w:rsid w:val="006230D9"/>
    <w:rsid w:val="0062391C"/>
    <w:rsid w:val="00623D7C"/>
    <w:rsid w:val="006240EA"/>
    <w:rsid w:val="006249DF"/>
    <w:rsid w:val="006250ED"/>
    <w:rsid w:val="0062593E"/>
    <w:rsid w:val="0062686D"/>
    <w:rsid w:val="0062708D"/>
    <w:rsid w:val="00627780"/>
    <w:rsid w:val="00627859"/>
    <w:rsid w:val="00630131"/>
    <w:rsid w:val="00630B2B"/>
    <w:rsid w:val="0063110B"/>
    <w:rsid w:val="00631663"/>
    <w:rsid w:val="00631AEF"/>
    <w:rsid w:val="00632FCE"/>
    <w:rsid w:val="00632FDF"/>
    <w:rsid w:val="00633265"/>
    <w:rsid w:val="0063387F"/>
    <w:rsid w:val="00633883"/>
    <w:rsid w:val="00634F93"/>
    <w:rsid w:val="006411F4"/>
    <w:rsid w:val="00641B7F"/>
    <w:rsid w:val="00642D1B"/>
    <w:rsid w:val="0064326D"/>
    <w:rsid w:val="006432BC"/>
    <w:rsid w:val="00643BC0"/>
    <w:rsid w:val="00644276"/>
    <w:rsid w:val="0064473F"/>
    <w:rsid w:val="00644CCA"/>
    <w:rsid w:val="00645B25"/>
    <w:rsid w:val="00645D15"/>
    <w:rsid w:val="00645FC8"/>
    <w:rsid w:val="00646724"/>
    <w:rsid w:val="00646C1C"/>
    <w:rsid w:val="00647BD9"/>
    <w:rsid w:val="006503FC"/>
    <w:rsid w:val="00650A7F"/>
    <w:rsid w:val="00650B82"/>
    <w:rsid w:val="006511F4"/>
    <w:rsid w:val="00651A15"/>
    <w:rsid w:val="0065253D"/>
    <w:rsid w:val="00654500"/>
    <w:rsid w:val="00655DE0"/>
    <w:rsid w:val="00655FCF"/>
    <w:rsid w:val="00657787"/>
    <w:rsid w:val="006577B3"/>
    <w:rsid w:val="00657E2C"/>
    <w:rsid w:val="00660AC5"/>
    <w:rsid w:val="00660D70"/>
    <w:rsid w:val="00660F53"/>
    <w:rsid w:val="0066216A"/>
    <w:rsid w:val="00662812"/>
    <w:rsid w:val="006632E0"/>
    <w:rsid w:val="00663F60"/>
    <w:rsid w:val="0066461B"/>
    <w:rsid w:val="006649D1"/>
    <w:rsid w:val="00664C11"/>
    <w:rsid w:val="00665010"/>
    <w:rsid w:val="0066604F"/>
    <w:rsid w:val="006665AC"/>
    <w:rsid w:val="006667FB"/>
    <w:rsid w:val="00666A94"/>
    <w:rsid w:val="0066777A"/>
    <w:rsid w:val="00670048"/>
    <w:rsid w:val="006702A8"/>
    <w:rsid w:val="00670D63"/>
    <w:rsid w:val="00671462"/>
    <w:rsid w:val="006725A6"/>
    <w:rsid w:val="0067302B"/>
    <w:rsid w:val="0067357D"/>
    <w:rsid w:val="00673B06"/>
    <w:rsid w:val="006746C5"/>
    <w:rsid w:val="00675A11"/>
    <w:rsid w:val="00675A5E"/>
    <w:rsid w:val="006760DF"/>
    <w:rsid w:val="00676740"/>
    <w:rsid w:val="00676EF9"/>
    <w:rsid w:val="00676F2D"/>
    <w:rsid w:val="00677559"/>
    <w:rsid w:val="0067780B"/>
    <w:rsid w:val="0068028D"/>
    <w:rsid w:val="0068041F"/>
    <w:rsid w:val="0068063F"/>
    <w:rsid w:val="00680A51"/>
    <w:rsid w:val="00681956"/>
    <w:rsid w:val="0068206A"/>
    <w:rsid w:val="00683583"/>
    <w:rsid w:val="0068430B"/>
    <w:rsid w:val="00684699"/>
    <w:rsid w:val="00684F17"/>
    <w:rsid w:val="00685128"/>
    <w:rsid w:val="006855B1"/>
    <w:rsid w:val="006855ED"/>
    <w:rsid w:val="00685C15"/>
    <w:rsid w:val="00686904"/>
    <w:rsid w:val="00686BCA"/>
    <w:rsid w:val="00686BE2"/>
    <w:rsid w:val="006876B2"/>
    <w:rsid w:val="006909C7"/>
    <w:rsid w:val="00691034"/>
    <w:rsid w:val="00691A55"/>
    <w:rsid w:val="00692D7E"/>
    <w:rsid w:val="00693646"/>
    <w:rsid w:val="00693871"/>
    <w:rsid w:val="00694522"/>
    <w:rsid w:val="00694844"/>
    <w:rsid w:val="00694D74"/>
    <w:rsid w:val="00694FA6"/>
    <w:rsid w:val="00695162"/>
    <w:rsid w:val="006953E7"/>
    <w:rsid w:val="00695651"/>
    <w:rsid w:val="0069598D"/>
    <w:rsid w:val="006960D3"/>
    <w:rsid w:val="00696162"/>
    <w:rsid w:val="0069719F"/>
    <w:rsid w:val="006973D9"/>
    <w:rsid w:val="00697574"/>
    <w:rsid w:val="00697B3B"/>
    <w:rsid w:val="006A000A"/>
    <w:rsid w:val="006A08B5"/>
    <w:rsid w:val="006A0F1C"/>
    <w:rsid w:val="006A1ED7"/>
    <w:rsid w:val="006A303E"/>
    <w:rsid w:val="006A3395"/>
    <w:rsid w:val="006A4054"/>
    <w:rsid w:val="006A462C"/>
    <w:rsid w:val="006A4654"/>
    <w:rsid w:val="006A4CFC"/>
    <w:rsid w:val="006A50B6"/>
    <w:rsid w:val="006A5BBD"/>
    <w:rsid w:val="006A60E4"/>
    <w:rsid w:val="006B02D9"/>
    <w:rsid w:val="006B1ED1"/>
    <w:rsid w:val="006B1FDA"/>
    <w:rsid w:val="006B3FEE"/>
    <w:rsid w:val="006B5018"/>
    <w:rsid w:val="006B5AE6"/>
    <w:rsid w:val="006B5BE3"/>
    <w:rsid w:val="006B5D7A"/>
    <w:rsid w:val="006B6789"/>
    <w:rsid w:val="006C04C0"/>
    <w:rsid w:val="006C148C"/>
    <w:rsid w:val="006C1498"/>
    <w:rsid w:val="006C158D"/>
    <w:rsid w:val="006C1D51"/>
    <w:rsid w:val="006C24B0"/>
    <w:rsid w:val="006C30D7"/>
    <w:rsid w:val="006C39AD"/>
    <w:rsid w:val="006C40D8"/>
    <w:rsid w:val="006C4828"/>
    <w:rsid w:val="006C4C57"/>
    <w:rsid w:val="006C6564"/>
    <w:rsid w:val="006C6F07"/>
    <w:rsid w:val="006C7057"/>
    <w:rsid w:val="006D01DC"/>
    <w:rsid w:val="006D0856"/>
    <w:rsid w:val="006D1315"/>
    <w:rsid w:val="006D1967"/>
    <w:rsid w:val="006D2985"/>
    <w:rsid w:val="006D2CC9"/>
    <w:rsid w:val="006D2EC8"/>
    <w:rsid w:val="006D3545"/>
    <w:rsid w:val="006D37F0"/>
    <w:rsid w:val="006D51B7"/>
    <w:rsid w:val="006D5D0C"/>
    <w:rsid w:val="006D5FB5"/>
    <w:rsid w:val="006D6267"/>
    <w:rsid w:val="006D6AE8"/>
    <w:rsid w:val="006D6C14"/>
    <w:rsid w:val="006D76DE"/>
    <w:rsid w:val="006D786D"/>
    <w:rsid w:val="006D7A81"/>
    <w:rsid w:val="006D7BDA"/>
    <w:rsid w:val="006D7CC2"/>
    <w:rsid w:val="006E0A5D"/>
    <w:rsid w:val="006E0EE2"/>
    <w:rsid w:val="006E14DF"/>
    <w:rsid w:val="006E1A63"/>
    <w:rsid w:val="006E1EFA"/>
    <w:rsid w:val="006E27A5"/>
    <w:rsid w:val="006E38E4"/>
    <w:rsid w:val="006E4DEC"/>
    <w:rsid w:val="006E51F6"/>
    <w:rsid w:val="006E5530"/>
    <w:rsid w:val="006E5D92"/>
    <w:rsid w:val="006E6138"/>
    <w:rsid w:val="006E7047"/>
    <w:rsid w:val="006E7501"/>
    <w:rsid w:val="006E7666"/>
    <w:rsid w:val="006E7A99"/>
    <w:rsid w:val="006E7F91"/>
    <w:rsid w:val="006F0D93"/>
    <w:rsid w:val="006F1091"/>
    <w:rsid w:val="006F129D"/>
    <w:rsid w:val="006F2C98"/>
    <w:rsid w:val="006F4517"/>
    <w:rsid w:val="006F547D"/>
    <w:rsid w:val="006F6AB6"/>
    <w:rsid w:val="006F6C54"/>
    <w:rsid w:val="006F6C55"/>
    <w:rsid w:val="006F70CC"/>
    <w:rsid w:val="006F758C"/>
    <w:rsid w:val="00700F36"/>
    <w:rsid w:val="00701642"/>
    <w:rsid w:val="0070194E"/>
    <w:rsid w:val="007038D2"/>
    <w:rsid w:val="007040A7"/>
    <w:rsid w:val="00705095"/>
    <w:rsid w:val="00706AEF"/>
    <w:rsid w:val="00706BAB"/>
    <w:rsid w:val="007074BF"/>
    <w:rsid w:val="0070775B"/>
    <w:rsid w:val="00710BC4"/>
    <w:rsid w:val="007113B2"/>
    <w:rsid w:val="00712589"/>
    <w:rsid w:val="007142CA"/>
    <w:rsid w:val="00715365"/>
    <w:rsid w:val="007153A1"/>
    <w:rsid w:val="007155ED"/>
    <w:rsid w:val="00715772"/>
    <w:rsid w:val="007159E0"/>
    <w:rsid w:val="00715A77"/>
    <w:rsid w:val="00715D8B"/>
    <w:rsid w:val="00716B46"/>
    <w:rsid w:val="0071703A"/>
    <w:rsid w:val="00717076"/>
    <w:rsid w:val="0071760B"/>
    <w:rsid w:val="0071781E"/>
    <w:rsid w:val="00717AD8"/>
    <w:rsid w:val="00722297"/>
    <w:rsid w:val="00722529"/>
    <w:rsid w:val="00722755"/>
    <w:rsid w:val="00722CA6"/>
    <w:rsid w:val="00723102"/>
    <w:rsid w:val="00723AD6"/>
    <w:rsid w:val="00723B8A"/>
    <w:rsid w:val="00724556"/>
    <w:rsid w:val="0072488A"/>
    <w:rsid w:val="00724E1D"/>
    <w:rsid w:val="0072577B"/>
    <w:rsid w:val="00725B9A"/>
    <w:rsid w:val="007261F5"/>
    <w:rsid w:val="00726A6E"/>
    <w:rsid w:val="00727669"/>
    <w:rsid w:val="00727EF4"/>
    <w:rsid w:val="00730152"/>
    <w:rsid w:val="00730DBF"/>
    <w:rsid w:val="007313FD"/>
    <w:rsid w:val="007322B6"/>
    <w:rsid w:val="00732EBC"/>
    <w:rsid w:val="0073413C"/>
    <w:rsid w:val="00735A78"/>
    <w:rsid w:val="00735CE0"/>
    <w:rsid w:val="00735D34"/>
    <w:rsid w:val="00736591"/>
    <w:rsid w:val="007368B0"/>
    <w:rsid w:val="0074007B"/>
    <w:rsid w:val="00741011"/>
    <w:rsid w:val="00741718"/>
    <w:rsid w:val="007426B2"/>
    <w:rsid w:val="007427DB"/>
    <w:rsid w:val="00743626"/>
    <w:rsid w:val="00743B5C"/>
    <w:rsid w:val="00744BA3"/>
    <w:rsid w:val="00744D85"/>
    <w:rsid w:val="007454B2"/>
    <w:rsid w:val="00745AD7"/>
    <w:rsid w:val="00745D9D"/>
    <w:rsid w:val="00745E99"/>
    <w:rsid w:val="00745E9C"/>
    <w:rsid w:val="00745F41"/>
    <w:rsid w:val="00747D86"/>
    <w:rsid w:val="00750308"/>
    <w:rsid w:val="007507FE"/>
    <w:rsid w:val="007508D6"/>
    <w:rsid w:val="00750966"/>
    <w:rsid w:val="00751D31"/>
    <w:rsid w:val="007526AE"/>
    <w:rsid w:val="007526F4"/>
    <w:rsid w:val="007529F7"/>
    <w:rsid w:val="007535AF"/>
    <w:rsid w:val="007548E3"/>
    <w:rsid w:val="00754D4D"/>
    <w:rsid w:val="00755515"/>
    <w:rsid w:val="00755B84"/>
    <w:rsid w:val="00756BD2"/>
    <w:rsid w:val="00756EF6"/>
    <w:rsid w:val="007570C8"/>
    <w:rsid w:val="00757432"/>
    <w:rsid w:val="00757AE3"/>
    <w:rsid w:val="00760DE2"/>
    <w:rsid w:val="00761735"/>
    <w:rsid w:val="00762844"/>
    <w:rsid w:val="007630B0"/>
    <w:rsid w:val="007646B1"/>
    <w:rsid w:val="00764E41"/>
    <w:rsid w:val="00765153"/>
    <w:rsid w:val="00765AF4"/>
    <w:rsid w:val="007660B0"/>
    <w:rsid w:val="00766487"/>
    <w:rsid w:val="0076691C"/>
    <w:rsid w:val="007669B8"/>
    <w:rsid w:val="00766D31"/>
    <w:rsid w:val="0076715B"/>
    <w:rsid w:val="007678EE"/>
    <w:rsid w:val="00767D3B"/>
    <w:rsid w:val="007704A8"/>
    <w:rsid w:val="0077084B"/>
    <w:rsid w:val="00771180"/>
    <w:rsid w:val="0077159C"/>
    <w:rsid w:val="00771BAB"/>
    <w:rsid w:val="00771C41"/>
    <w:rsid w:val="0077246C"/>
    <w:rsid w:val="007724AD"/>
    <w:rsid w:val="007729A8"/>
    <w:rsid w:val="007729CC"/>
    <w:rsid w:val="00773356"/>
    <w:rsid w:val="00773362"/>
    <w:rsid w:val="00775524"/>
    <w:rsid w:val="00775646"/>
    <w:rsid w:val="007764D3"/>
    <w:rsid w:val="00776547"/>
    <w:rsid w:val="007766B1"/>
    <w:rsid w:val="00776C17"/>
    <w:rsid w:val="00777580"/>
    <w:rsid w:val="00777E19"/>
    <w:rsid w:val="00782FC7"/>
    <w:rsid w:val="00783C6E"/>
    <w:rsid w:val="00783F14"/>
    <w:rsid w:val="00784B9B"/>
    <w:rsid w:val="007859B9"/>
    <w:rsid w:val="00786294"/>
    <w:rsid w:val="0078750B"/>
    <w:rsid w:val="0079080F"/>
    <w:rsid w:val="00790AEB"/>
    <w:rsid w:val="00790BF9"/>
    <w:rsid w:val="00791ED4"/>
    <w:rsid w:val="00792CED"/>
    <w:rsid w:val="00792FCE"/>
    <w:rsid w:val="00793108"/>
    <w:rsid w:val="007932CB"/>
    <w:rsid w:val="007954C7"/>
    <w:rsid w:val="00796453"/>
    <w:rsid w:val="00796628"/>
    <w:rsid w:val="00796A74"/>
    <w:rsid w:val="007970A3"/>
    <w:rsid w:val="007977A7"/>
    <w:rsid w:val="007A010D"/>
    <w:rsid w:val="007A0294"/>
    <w:rsid w:val="007A0C9E"/>
    <w:rsid w:val="007A0D85"/>
    <w:rsid w:val="007A11F8"/>
    <w:rsid w:val="007A307D"/>
    <w:rsid w:val="007A3DA9"/>
    <w:rsid w:val="007A476C"/>
    <w:rsid w:val="007A5703"/>
    <w:rsid w:val="007A59DC"/>
    <w:rsid w:val="007A5A15"/>
    <w:rsid w:val="007B0474"/>
    <w:rsid w:val="007B1052"/>
    <w:rsid w:val="007B141B"/>
    <w:rsid w:val="007B1C29"/>
    <w:rsid w:val="007B1E4B"/>
    <w:rsid w:val="007B24B0"/>
    <w:rsid w:val="007B2FBD"/>
    <w:rsid w:val="007B34F4"/>
    <w:rsid w:val="007B3A81"/>
    <w:rsid w:val="007B3D6F"/>
    <w:rsid w:val="007B3DAB"/>
    <w:rsid w:val="007B4D77"/>
    <w:rsid w:val="007B63DA"/>
    <w:rsid w:val="007B6435"/>
    <w:rsid w:val="007C0518"/>
    <w:rsid w:val="007C113E"/>
    <w:rsid w:val="007C15E7"/>
    <w:rsid w:val="007C1C06"/>
    <w:rsid w:val="007C2FB7"/>
    <w:rsid w:val="007C30F3"/>
    <w:rsid w:val="007C38E2"/>
    <w:rsid w:val="007C38EE"/>
    <w:rsid w:val="007C423F"/>
    <w:rsid w:val="007C4760"/>
    <w:rsid w:val="007C4986"/>
    <w:rsid w:val="007C4EAF"/>
    <w:rsid w:val="007C50E7"/>
    <w:rsid w:val="007C5224"/>
    <w:rsid w:val="007C5BFA"/>
    <w:rsid w:val="007C5C26"/>
    <w:rsid w:val="007C6AD7"/>
    <w:rsid w:val="007C6CBE"/>
    <w:rsid w:val="007C7421"/>
    <w:rsid w:val="007C76E3"/>
    <w:rsid w:val="007D08B8"/>
    <w:rsid w:val="007D23C3"/>
    <w:rsid w:val="007D2EC2"/>
    <w:rsid w:val="007D3857"/>
    <w:rsid w:val="007D4461"/>
    <w:rsid w:val="007D47E0"/>
    <w:rsid w:val="007D5118"/>
    <w:rsid w:val="007D6A99"/>
    <w:rsid w:val="007D6B6A"/>
    <w:rsid w:val="007E04F9"/>
    <w:rsid w:val="007E08D3"/>
    <w:rsid w:val="007E15AB"/>
    <w:rsid w:val="007E19FF"/>
    <w:rsid w:val="007E1CEB"/>
    <w:rsid w:val="007E2484"/>
    <w:rsid w:val="007E2D1E"/>
    <w:rsid w:val="007E2F7E"/>
    <w:rsid w:val="007E3261"/>
    <w:rsid w:val="007E3524"/>
    <w:rsid w:val="007E3DAC"/>
    <w:rsid w:val="007E5A37"/>
    <w:rsid w:val="007E5BF1"/>
    <w:rsid w:val="007E5E70"/>
    <w:rsid w:val="007E5FAD"/>
    <w:rsid w:val="007E63E6"/>
    <w:rsid w:val="007E6CEC"/>
    <w:rsid w:val="007F03FA"/>
    <w:rsid w:val="007F106E"/>
    <w:rsid w:val="007F12DF"/>
    <w:rsid w:val="007F188B"/>
    <w:rsid w:val="007F20A6"/>
    <w:rsid w:val="007F2524"/>
    <w:rsid w:val="007F2719"/>
    <w:rsid w:val="007F2747"/>
    <w:rsid w:val="007F3542"/>
    <w:rsid w:val="007F3A46"/>
    <w:rsid w:val="007F42FA"/>
    <w:rsid w:val="007F4F6E"/>
    <w:rsid w:val="007F529F"/>
    <w:rsid w:val="007F5592"/>
    <w:rsid w:val="007F5BD1"/>
    <w:rsid w:val="007F5C5B"/>
    <w:rsid w:val="007F5FA3"/>
    <w:rsid w:val="007F7351"/>
    <w:rsid w:val="007F7679"/>
    <w:rsid w:val="007F7A6E"/>
    <w:rsid w:val="007F7B4B"/>
    <w:rsid w:val="007F7EC5"/>
    <w:rsid w:val="007F7F80"/>
    <w:rsid w:val="008003DD"/>
    <w:rsid w:val="008018A0"/>
    <w:rsid w:val="00801A5C"/>
    <w:rsid w:val="0080391C"/>
    <w:rsid w:val="0080394C"/>
    <w:rsid w:val="008044D5"/>
    <w:rsid w:val="00804591"/>
    <w:rsid w:val="00804B8C"/>
    <w:rsid w:val="00804BD9"/>
    <w:rsid w:val="008050EB"/>
    <w:rsid w:val="008058E9"/>
    <w:rsid w:val="00807219"/>
    <w:rsid w:val="008110DA"/>
    <w:rsid w:val="00811989"/>
    <w:rsid w:val="008120B3"/>
    <w:rsid w:val="0081289B"/>
    <w:rsid w:val="00812A73"/>
    <w:rsid w:val="00812E5E"/>
    <w:rsid w:val="008134D9"/>
    <w:rsid w:val="00813B54"/>
    <w:rsid w:val="0081410C"/>
    <w:rsid w:val="00814C9C"/>
    <w:rsid w:val="008156AF"/>
    <w:rsid w:val="00816893"/>
    <w:rsid w:val="00816DD8"/>
    <w:rsid w:val="00817464"/>
    <w:rsid w:val="00820471"/>
    <w:rsid w:val="008206A7"/>
    <w:rsid w:val="008209AD"/>
    <w:rsid w:val="00820F0C"/>
    <w:rsid w:val="00821EA3"/>
    <w:rsid w:val="00821EEA"/>
    <w:rsid w:val="00822616"/>
    <w:rsid w:val="008229BC"/>
    <w:rsid w:val="00823C30"/>
    <w:rsid w:val="00823E18"/>
    <w:rsid w:val="00823F40"/>
    <w:rsid w:val="0082471D"/>
    <w:rsid w:val="00824BDF"/>
    <w:rsid w:val="00825D4C"/>
    <w:rsid w:val="0082791F"/>
    <w:rsid w:val="00827AAA"/>
    <w:rsid w:val="00830024"/>
    <w:rsid w:val="008309CE"/>
    <w:rsid w:val="00830A4D"/>
    <w:rsid w:val="00830EFB"/>
    <w:rsid w:val="0083246C"/>
    <w:rsid w:val="00832C31"/>
    <w:rsid w:val="0083304C"/>
    <w:rsid w:val="00833101"/>
    <w:rsid w:val="00833D42"/>
    <w:rsid w:val="00833F79"/>
    <w:rsid w:val="008353AE"/>
    <w:rsid w:val="00835624"/>
    <w:rsid w:val="00835E03"/>
    <w:rsid w:val="008362A8"/>
    <w:rsid w:val="0083660F"/>
    <w:rsid w:val="00836CEA"/>
    <w:rsid w:val="00836FF4"/>
    <w:rsid w:val="0084062B"/>
    <w:rsid w:val="00841A33"/>
    <w:rsid w:val="0084367D"/>
    <w:rsid w:val="0084487E"/>
    <w:rsid w:val="00844F93"/>
    <w:rsid w:val="0084618F"/>
    <w:rsid w:val="00846F3A"/>
    <w:rsid w:val="00850091"/>
    <w:rsid w:val="0085140E"/>
    <w:rsid w:val="00852248"/>
    <w:rsid w:val="008524B2"/>
    <w:rsid w:val="00853FA1"/>
    <w:rsid w:val="00854397"/>
    <w:rsid w:val="00854822"/>
    <w:rsid w:val="00855D87"/>
    <w:rsid w:val="008571B3"/>
    <w:rsid w:val="0086014F"/>
    <w:rsid w:val="0086025F"/>
    <w:rsid w:val="0086111B"/>
    <w:rsid w:val="00861669"/>
    <w:rsid w:val="00861C87"/>
    <w:rsid w:val="00861F9C"/>
    <w:rsid w:val="008625AD"/>
    <w:rsid w:val="00863508"/>
    <w:rsid w:val="00863A53"/>
    <w:rsid w:val="00864BFE"/>
    <w:rsid w:val="00864EBF"/>
    <w:rsid w:val="00865120"/>
    <w:rsid w:val="0086563B"/>
    <w:rsid w:val="00866463"/>
    <w:rsid w:val="008667BA"/>
    <w:rsid w:val="0086691C"/>
    <w:rsid w:val="00870B70"/>
    <w:rsid w:val="00870EF7"/>
    <w:rsid w:val="00871E4F"/>
    <w:rsid w:val="0087369D"/>
    <w:rsid w:val="00873B52"/>
    <w:rsid w:val="00873E2B"/>
    <w:rsid w:val="008749F5"/>
    <w:rsid w:val="008761D6"/>
    <w:rsid w:val="0087745B"/>
    <w:rsid w:val="0088043A"/>
    <w:rsid w:val="00880682"/>
    <w:rsid w:val="008814F4"/>
    <w:rsid w:val="0088186B"/>
    <w:rsid w:val="00881F70"/>
    <w:rsid w:val="00882151"/>
    <w:rsid w:val="008826AB"/>
    <w:rsid w:val="00883514"/>
    <w:rsid w:val="008839D5"/>
    <w:rsid w:val="00883A16"/>
    <w:rsid w:val="00883C00"/>
    <w:rsid w:val="0088462E"/>
    <w:rsid w:val="00885A30"/>
    <w:rsid w:val="00885EF3"/>
    <w:rsid w:val="00885F6A"/>
    <w:rsid w:val="00886036"/>
    <w:rsid w:val="0088704F"/>
    <w:rsid w:val="008873C4"/>
    <w:rsid w:val="008875BB"/>
    <w:rsid w:val="00890609"/>
    <w:rsid w:val="00890768"/>
    <w:rsid w:val="00891179"/>
    <w:rsid w:val="008913E8"/>
    <w:rsid w:val="00892661"/>
    <w:rsid w:val="00892782"/>
    <w:rsid w:val="0089337E"/>
    <w:rsid w:val="008933BE"/>
    <w:rsid w:val="008934D9"/>
    <w:rsid w:val="008938E5"/>
    <w:rsid w:val="008939E8"/>
    <w:rsid w:val="00893AC6"/>
    <w:rsid w:val="008940E9"/>
    <w:rsid w:val="00894FC1"/>
    <w:rsid w:val="00895142"/>
    <w:rsid w:val="0089551B"/>
    <w:rsid w:val="00895DED"/>
    <w:rsid w:val="00896534"/>
    <w:rsid w:val="00896AA4"/>
    <w:rsid w:val="008978E4"/>
    <w:rsid w:val="00897FF6"/>
    <w:rsid w:val="008A160E"/>
    <w:rsid w:val="008A2270"/>
    <w:rsid w:val="008A23C3"/>
    <w:rsid w:val="008A2DD3"/>
    <w:rsid w:val="008A30AF"/>
    <w:rsid w:val="008A36FA"/>
    <w:rsid w:val="008A3762"/>
    <w:rsid w:val="008A3806"/>
    <w:rsid w:val="008A43FF"/>
    <w:rsid w:val="008A4A18"/>
    <w:rsid w:val="008A5AB8"/>
    <w:rsid w:val="008A6483"/>
    <w:rsid w:val="008A658D"/>
    <w:rsid w:val="008A6B42"/>
    <w:rsid w:val="008B0CC2"/>
    <w:rsid w:val="008B17C8"/>
    <w:rsid w:val="008B3CCB"/>
    <w:rsid w:val="008B4237"/>
    <w:rsid w:val="008B494C"/>
    <w:rsid w:val="008B6222"/>
    <w:rsid w:val="008B6D33"/>
    <w:rsid w:val="008B7633"/>
    <w:rsid w:val="008B7AEE"/>
    <w:rsid w:val="008B7DC7"/>
    <w:rsid w:val="008C0EA8"/>
    <w:rsid w:val="008C1121"/>
    <w:rsid w:val="008C1563"/>
    <w:rsid w:val="008C21E8"/>
    <w:rsid w:val="008C365E"/>
    <w:rsid w:val="008C3ED2"/>
    <w:rsid w:val="008C4A65"/>
    <w:rsid w:val="008C5936"/>
    <w:rsid w:val="008C5D76"/>
    <w:rsid w:val="008C5F88"/>
    <w:rsid w:val="008C6A21"/>
    <w:rsid w:val="008C6E05"/>
    <w:rsid w:val="008C742A"/>
    <w:rsid w:val="008D06D4"/>
    <w:rsid w:val="008D174C"/>
    <w:rsid w:val="008D3542"/>
    <w:rsid w:val="008D3806"/>
    <w:rsid w:val="008D4C88"/>
    <w:rsid w:val="008D4D8D"/>
    <w:rsid w:val="008D52E3"/>
    <w:rsid w:val="008D7053"/>
    <w:rsid w:val="008D7677"/>
    <w:rsid w:val="008D7B18"/>
    <w:rsid w:val="008E01AA"/>
    <w:rsid w:val="008E09AC"/>
    <w:rsid w:val="008E0C89"/>
    <w:rsid w:val="008E0F5B"/>
    <w:rsid w:val="008E1026"/>
    <w:rsid w:val="008E1907"/>
    <w:rsid w:val="008E3147"/>
    <w:rsid w:val="008E3756"/>
    <w:rsid w:val="008E4F8A"/>
    <w:rsid w:val="008E5A5B"/>
    <w:rsid w:val="008E6600"/>
    <w:rsid w:val="008E7210"/>
    <w:rsid w:val="008E723F"/>
    <w:rsid w:val="008E72EF"/>
    <w:rsid w:val="008E7705"/>
    <w:rsid w:val="008E7822"/>
    <w:rsid w:val="008E7D3B"/>
    <w:rsid w:val="008E7E2D"/>
    <w:rsid w:val="008F0058"/>
    <w:rsid w:val="008F036A"/>
    <w:rsid w:val="008F1257"/>
    <w:rsid w:val="008F2077"/>
    <w:rsid w:val="008F2147"/>
    <w:rsid w:val="008F252F"/>
    <w:rsid w:val="008F567A"/>
    <w:rsid w:val="008F5F57"/>
    <w:rsid w:val="008F6131"/>
    <w:rsid w:val="008F62E3"/>
    <w:rsid w:val="008F6426"/>
    <w:rsid w:val="008F643A"/>
    <w:rsid w:val="008F6BD3"/>
    <w:rsid w:val="008F6D14"/>
    <w:rsid w:val="008F7445"/>
    <w:rsid w:val="008F7615"/>
    <w:rsid w:val="008F7991"/>
    <w:rsid w:val="008F7A2E"/>
    <w:rsid w:val="0090094D"/>
    <w:rsid w:val="00902ACC"/>
    <w:rsid w:val="00902F52"/>
    <w:rsid w:val="00903009"/>
    <w:rsid w:val="00904897"/>
    <w:rsid w:val="0090532C"/>
    <w:rsid w:val="00905784"/>
    <w:rsid w:val="0090623C"/>
    <w:rsid w:val="00906B73"/>
    <w:rsid w:val="0090750F"/>
    <w:rsid w:val="0091005E"/>
    <w:rsid w:val="00910E26"/>
    <w:rsid w:val="00911F9C"/>
    <w:rsid w:val="0091259B"/>
    <w:rsid w:val="00914066"/>
    <w:rsid w:val="00914085"/>
    <w:rsid w:val="009149D3"/>
    <w:rsid w:val="00914CE3"/>
    <w:rsid w:val="00915149"/>
    <w:rsid w:val="00915FA4"/>
    <w:rsid w:val="009165C7"/>
    <w:rsid w:val="009167FE"/>
    <w:rsid w:val="009168A8"/>
    <w:rsid w:val="00920649"/>
    <w:rsid w:val="009227C3"/>
    <w:rsid w:val="009237DE"/>
    <w:rsid w:val="0092383F"/>
    <w:rsid w:val="009251B4"/>
    <w:rsid w:val="00925268"/>
    <w:rsid w:val="009258A8"/>
    <w:rsid w:val="009258B5"/>
    <w:rsid w:val="00925F51"/>
    <w:rsid w:val="00926B3F"/>
    <w:rsid w:val="00926BF5"/>
    <w:rsid w:val="00926D37"/>
    <w:rsid w:val="00927811"/>
    <w:rsid w:val="00927BE5"/>
    <w:rsid w:val="00927E9C"/>
    <w:rsid w:val="00931001"/>
    <w:rsid w:val="0093218A"/>
    <w:rsid w:val="0093398E"/>
    <w:rsid w:val="009340D1"/>
    <w:rsid w:val="009343DE"/>
    <w:rsid w:val="0093762B"/>
    <w:rsid w:val="00937631"/>
    <w:rsid w:val="00940210"/>
    <w:rsid w:val="00940428"/>
    <w:rsid w:val="00940556"/>
    <w:rsid w:val="00940647"/>
    <w:rsid w:val="00942291"/>
    <w:rsid w:val="00943695"/>
    <w:rsid w:val="00945421"/>
    <w:rsid w:val="009463A0"/>
    <w:rsid w:val="00946AC0"/>
    <w:rsid w:val="00947974"/>
    <w:rsid w:val="00947D29"/>
    <w:rsid w:val="009502AF"/>
    <w:rsid w:val="00951996"/>
    <w:rsid w:val="00951AB4"/>
    <w:rsid w:val="00952B28"/>
    <w:rsid w:val="0095377E"/>
    <w:rsid w:val="0095427F"/>
    <w:rsid w:val="00954759"/>
    <w:rsid w:val="009549AB"/>
    <w:rsid w:val="00954FC7"/>
    <w:rsid w:val="00955A8F"/>
    <w:rsid w:val="009566E5"/>
    <w:rsid w:val="0095689D"/>
    <w:rsid w:val="00956A14"/>
    <w:rsid w:val="00956CFD"/>
    <w:rsid w:val="009570D9"/>
    <w:rsid w:val="009579A2"/>
    <w:rsid w:val="009602EC"/>
    <w:rsid w:val="00960FF9"/>
    <w:rsid w:val="0096145B"/>
    <w:rsid w:val="00961514"/>
    <w:rsid w:val="00962430"/>
    <w:rsid w:val="00963102"/>
    <w:rsid w:val="00965B28"/>
    <w:rsid w:val="00965DCD"/>
    <w:rsid w:val="00966486"/>
    <w:rsid w:val="00967D5E"/>
    <w:rsid w:val="00970FDA"/>
    <w:rsid w:val="00971593"/>
    <w:rsid w:val="009719FA"/>
    <w:rsid w:val="00972315"/>
    <w:rsid w:val="00973F1F"/>
    <w:rsid w:val="0097498B"/>
    <w:rsid w:val="00974C94"/>
    <w:rsid w:val="00976A7D"/>
    <w:rsid w:val="009773F5"/>
    <w:rsid w:val="00977409"/>
    <w:rsid w:val="0098021B"/>
    <w:rsid w:val="00980818"/>
    <w:rsid w:val="00980B46"/>
    <w:rsid w:val="0098131C"/>
    <w:rsid w:val="00983FE2"/>
    <w:rsid w:val="009853D9"/>
    <w:rsid w:val="0098646F"/>
    <w:rsid w:val="009871C5"/>
    <w:rsid w:val="0099092F"/>
    <w:rsid w:val="00990D04"/>
    <w:rsid w:val="0099197F"/>
    <w:rsid w:val="00992BFE"/>
    <w:rsid w:val="0099317F"/>
    <w:rsid w:val="009931E2"/>
    <w:rsid w:val="0099354B"/>
    <w:rsid w:val="009946E8"/>
    <w:rsid w:val="009956EF"/>
    <w:rsid w:val="00995C9F"/>
    <w:rsid w:val="009961C1"/>
    <w:rsid w:val="0099631A"/>
    <w:rsid w:val="00996415"/>
    <w:rsid w:val="00996682"/>
    <w:rsid w:val="009975E1"/>
    <w:rsid w:val="00997E0F"/>
    <w:rsid w:val="00997F00"/>
    <w:rsid w:val="009A0883"/>
    <w:rsid w:val="009A1CC3"/>
    <w:rsid w:val="009A223C"/>
    <w:rsid w:val="009A3AAE"/>
    <w:rsid w:val="009A3B34"/>
    <w:rsid w:val="009A4FE6"/>
    <w:rsid w:val="009A504F"/>
    <w:rsid w:val="009A5CF0"/>
    <w:rsid w:val="009A5EA5"/>
    <w:rsid w:val="009A618E"/>
    <w:rsid w:val="009A71F6"/>
    <w:rsid w:val="009A74DB"/>
    <w:rsid w:val="009B0CA1"/>
    <w:rsid w:val="009B165F"/>
    <w:rsid w:val="009B1F99"/>
    <w:rsid w:val="009B3CEC"/>
    <w:rsid w:val="009B3FC3"/>
    <w:rsid w:val="009B52A5"/>
    <w:rsid w:val="009B564E"/>
    <w:rsid w:val="009B5D5E"/>
    <w:rsid w:val="009B674E"/>
    <w:rsid w:val="009B71A8"/>
    <w:rsid w:val="009B71C2"/>
    <w:rsid w:val="009B793B"/>
    <w:rsid w:val="009B7EE6"/>
    <w:rsid w:val="009C035B"/>
    <w:rsid w:val="009C0CB7"/>
    <w:rsid w:val="009C0D81"/>
    <w:rsid w:val="009C1E5B"/>
    <w:rsid w:val="009C2332"/>
    <w:rsid w:val="009C27CC"/>
    <w:rsid w:val="009C29B7"/>
    <w:rsid w:val="009C348B"/>
    <w:rsid w:val="009C3614"/>
    <w:rsid w:val="009C399F"/>
    <w:rsid w:val="009C3A6B"/>
    <w:rsid w:val="009C47BD"/>
    <w:rsid w:val="009C485E"/>
    <w:rsid w:val="009C5061"/>
    <w:rsid w:val="009C5579"/>
    <w:rsid w:val="009C5B9B"/>
    <w:rsid w:val="009C7C24"/>
    <w:rsid w:val="009D004F"/>
    <w:rsid w:val="009D0104"/>
    <w:rsid w:val="009D0356"/>
    <w:rsid w:val="009D1650"/>
    <w:rsid w:val="009D1E04"/>
    <w:rsid w:val="009D28CD"/>
    <w:rsid w:val="009D2AD3"/>
    <w:rsid w:val="009D2E31"/>
    <w:rsid w:val="009D2EE8"/>
    <w:rsid w:val="009D3578"/>
    <w:rsid w:val="009D36F0"/>
    <w:rsid w:val="009D3C09"/>
    <w:rsid w:val="009D56DA"/>
    <w:rsid w:val="009D58C5"/>
    <w:rsid w:val="009D5B7E"/>
    <w:rsid w:val="009D6043"/>
    <w:rsid w:val="009D68BF"/>
    <w:rsid w:val="009D700B"/>
    <w:rsid w:val="009D7FB3"/>
    <w:rsid w:val="009E04DD"/>
    <w:rsid w:val="009E079D"/>
    <w:rsid w:val="009E24AC"/>
    <w:rsid w:val="009E3BC1"/>
    <w:rsid w:val="009E3D5B"/>
    <w:rsid w:val="009E5B6F"/>
    <w:rsid w:val="009E5F04"/>
    <w:rsid w:val="009F1268"/>
    <w:rsid w:val="009F15E3"/>
    <w:rsid w:val="009F190A"/>
    <w:rsid w:val="009F20C6"/>
    <w:rsid w:val="009F3579"/>
    <w:rsid w:val="009F4E73"/>
    <w:rsid w:val="009F5707"/>
    <w:rsid w:val="009F7275"/>
    <w:rsid w:val="00A00B1D"/>
    <w:rsid w:val="00A00E1B"/>
    <w:rsid w:val="00A02100"/>
    <w:rsid w:val="00A0250D"/>
    <w:rsid w:val="00A0381A"/>
    <w:rsid w:val="00A03882"/>
    <w:rsid w:val="00A051C5"/>
    <w:rsid w:val="00A052C7"/>
    <w:rsid w:val="00A05388"/>
    <w:rsid w:val="00A06A07"/>
    <w:rsid w:val="00A06FF8"/>
    <w:rsid w:val="00A07C25"/>
    <w:rsid w:val="00A10025"/>
    <w:rsid w:val="00A10169"/>
    <w:rsid w:val="00A107E8"/>
    <w:rsid w:val="00A10E87"/>
    <w:rsid w:val="00A1103B"/>
    <w:rsid w:val="00A113EB"/>
    <w:rsid w:val="00A11977"/>
    <w:rsid w:val="00A12837"/>
    <w:rsid w:val="00A12D52"/>
    <w:rsid w:val="00A12DDE"/>
    <w:rsid w:val="00A1396E"/>
    <w:rsid w:val="00A13CB3"/>
    <w:rsid w:val="00A14C6E"/>
    <w:rsid w:val="00A15395"/>
    <w:rsid w:val="00A15982"/>
    <w:rsid w:val="00A15A9D"/>
    <w:rsid w:val="00A15B8F"/>
    <w:rsid w:val="00A16414"/>
    <w:rsid w:val="00A1645F"/>
    <w:rsid w:val="00A16C1E"/>
    <w:rsid w:val="00A178B7"/>
    <w:rsid w:val="00A21333"/>
    <w:rsid w:val="00A213BD"/>
    <w:rsid w:val="00A2185D"/>
    <w:rsid w:val="00A21C76"/>
    <w:rsid w:val="00A2403D"/>
    <w:rsid w:val="00A245B5"/>
    <w:rsid w:val="00A2484B"/>
    <w:rsid w:val="00A24C01"/>
    <w:rsid w:val="00A24CCE"/>
    <w:rsid w:val="00A25315"/>
    <w:rsid w:val="00A2590C"/>
    <w:rsid w:val="00A25A61"/>
    <w:rsid w:val="00A25AEA"/>
    <w:rsid w:val="00A26904"/>
    <w:rsid w:val="00A2794A"/>
    <w:rsid w:val="00A27B45"/>
    <w:rsid w:val="00A30689"/>
    <w:rsid w:val="00A30B97"/>
    <w:rsid w:val="00A3233A"/>
    <w:rsid w:val="00A32B29"/>
    <w:rsid w:val="00A33250"/>
    <w:rsid w:val="00A33EF2"/>
    <w:rsid w:val="00A35F40"/>
    <w:rsid w:val="00A37AB1"/>
    <w:rsid w:val="00A409D2"/>
    <w:rsid w:val="00A41622"/>
    <w:rsid w:val="00A41ABA"/>
    <w:rsid w:val="00A42258"/>
    <w:rsid w:val="00A42676"/>
    <w:rsid w:val="00A427D0"/>
    <w:rsid w:val="00A43489"/>
    <w:rsid w:val="00A43F07"/>
    <w:rsid w:val="00A44B45"/>
    <w:rsid w:val="00A44CC8"/>
    <w:rsid w:val="00A501FA"/>
    <w:rsid w:val="00A50CDF"/>
    <w:rsid w:val="00A50F29"/>
    <w:rsid w:val="00A513AB"/>
    <w:rsid w:val="00A513B0"/>
    <w:rsid w:val="00A5287F"/>
    <w:rsid w:val="00A52CA4"/>
    <w:rsid w:val="00A53336"/>
    <w:rsid w:val="00A54E52"/>
    <w:rsid w:val="00A55137"/>
    <w:rsid w:val="00A55EF9"/>
    <w:rsid w:val="00A56535"/>
    <w:rsid w:val="00A56581"/>
    <w:rsid w:val="00A56B9E"/>
    <w:rsid w:val="00A574DE"/>
    <w:rsid w:val="00A57FB7"/>
    <w:rsid w:val="00A6147A"/>
    <w:rsid w:val="00A616FD"/>
    <w:rsid w:val="00A61727"/>
    <w:rsid w:val="00A618A2"/>
    <w:rsid w:val="00A634A7"/>
    <w:rsid w:val="00A63A47"/>
    <w:rsid w:val="00A63C4D"/>
    <w:rsid w:val="00A644FF"/>
    <w:rsid w:val="00A66139"/>
    <w:rsid w:val="00A664FC"/>
    <w:rsid w:val="00A66B43"/>
    <w:rsid w:val="00A678AD"/>
    <w:rsid w:val="00A67DF5"/>
    <w:rsid w:val="00A70141"/>
    <w:rsid w:val="00A70AE4"/>
    <w:rsid w:val="00A72AC9"/>
    <w:rsid w:val="00A73513"/>
    <w:rsid w:val="00A736D3"/>
    <w:rsid w:val="00A739C2"/>
    <w:rsid w:val="00A740AA"/>
    <w:rsid w:val="00A74989"/>
    <w:rsid w:val="00A74EC5"/>
    <w:rsid w:val="00A7535E"/>
    <w:rsid w:val="00A760E0"/>
    <w:rsid w:val="00A76416"/>
    <w:rsid w:val="00A7675D"/>
    <w:rsid w:val="00A77371"/>
    <w:rsid w:val="00A77983"/>
    <w:rsid w:val="00A8022D"/>
    <w:rsid w:val="00A808F8"/>
    <w:rsid w:val="00A812CE"/>
    <w:rsid w:val="00A81713"/>
    <w:rsid w:val="00A8445A"/>
    <w:rsid w:val="00A84AA2"/>
    <w:rsid w:val="00A851C7"/>
    <w:rsid w:val="00A85327"/>
    <w:rsid w:val="00A8790E"/>
    <w:rsid w:val="00A9074D"/>
    <w:rsid w:val="00A9084C"/>
    <w:rsid w:val="00A90B6A"/>
    <w:rsid w:val="00A91002"/>
    <w:rsid w:val="00A91C19"/>
    <w:rsid w:val="00A9297F"/>
    <w:rsid w:val="00A92A74"/>
    <w:rsid w:val="00A93331"/>
    <w:rsid w:val="00A93590"/>
    <w:rsid w:val="00A93CCB"/>
    <w:rsid w:val="00A94ECC"/>
    <w:rsid w:val="00A958B5"/>
    <w:rsid w:val="00A95BBA"/>
    <w:rsid w:val="00A9600B"/>
    <w:rsid w:val="00A96306"/>
    <w:rsid w:val="00A96500"/>
    <w:rsid w:val="00A97221"/>
    <w:rsid w:val="00A97716"/>
    <w:rsid w:val="00A97C01"/>
    <w:rsid w:val="00AA169A"/>
    <w:rsid w:val="00AA44D7"/>
    <w:rsid w:val="00AA5610"/>
    <w:rsid w:val="00AA5A72"/>
    <w:rsid w:val="00AB10E5"/>
    <w:rsid w:val="00AB1442"/>
    <w:rsid w:val="00AB196F"/>
    <w:rsid w:val="00AB1BF0"/>
    <w:rsid w:val="00AB21C6"/>
    <w:rsid w:val="00AB28FA"/>
    <w:rsid w:val="00AB2A67"/>
    <w:rsid w:val="00AB45D8"/>
    <w:rsid w:val="00AB4D47"/>
    <w:rsid w:val="00AB57E8"/>
    <w:rsid w:val="00AB5F72"/>
    <w:rsid w:val="00AB68B2"/>
    <w:rsid w:val="00AB6B93"/>
    <w:rsid w:val="00AB7063"/>
    <w:rsid w:val="00AB7614"/>
    <w:rsid w:val="00AB77A3"/>
    <w:rsid w:val="00AC02C7"/>
    <w:rsid w:val="00AC05EE"/>
    <w:rsid w:val="00AC121A"/>
    <w:rsid w:val="00AC138A"/>
    <w:rsid w:val="00AC24C9"/>
    <w:rsid w:val="00AC2F97"/>
    <w:rsid w:val="00AC316E"/>
    <w:rsid w:val="00AC31E5"/>
    <w:rsid w:val="00AC364C"/>
    <w:rsid w:val="00AC395B"/>
    <w:rsid w:val="00AC39D1"/>
    <w:rsid w:val="00AC3D93"/>
    <w:rsid w:val="00AC44CB"/>
    <w:rsid w:val="00AC4DB1"/>
    <w:rsid w:val="00AC562F"/>
    <w:rsid w:val="00AC7640"/>
    <w:rsid w:val="00AC771A"/>
    <w:rsid w:val="00AC7B9E"/>
    <w:rsid w:val="00AD1772"/>
    <w:rsid w:val="00AD1E36"/>
    <w:rsid w:val="00AD2EBC"/>
    <w:rsid w:val="00AD4397"/>
    <w:rsid w:val="00AD43E3"/>
    <w:rsid w:val="00AD49DF"/>
    <w:rsid w:val="00AD528C"/>
    <w:rsid w:val="00AD66C3"/>
    <w:rsid w:val="00AD7310"/>
    <w:rsid w:val="00AD79CC"/>
    <w:rsid w:val="00AD7CED"/>
    <w:rsid w:val="00AE05C6"/>
    <w:rsid w:val="00AE1F98"/>
    <w:rsid w:val="00AE212D"/>
    <w:rsid w:val="00AE28F5"/>
    <w:rsid w:val="00AE2AFD"/>
    <w:rsid w:val="00AE2DBB"/>
    <w:rsid w:val="00AE30BD"/>
    <w:rsid w:val="00AE4063"/>
    <w:rsid w:val="00AE4531"/>
    <w:rsid w:val="00AE4E8B"/>
    <w:rsid w:val="00AE5027"/>
    <w:rsid w:val="00AE5D28"/>
    <w:rsid w:val="00AE7E28"/>
    <w:rsid w:val="00AF1307"/>
    <w:rsid w:val="00AF20CA"/>
    <w:rsid w:val="00AF262C"/>
    <w:rsid w:val="00AF3817"/>
    <w:rsid w:val="00AF40D2"/>
    <w:rsid w:val="00AF4D61"/>
    <w:rsid w:val="00AF5460"/>
    <w:rsid w:val="00AF566B"/>
    <w:rsid w:val="00AF7766"/>
    <w:rsid w:val="00AF7A46"/>
    <w:rsid w:val="00AF7FCC"/>
    <w:rsid w:val="00B00247"/>
    <w:rsid w:val="00B008E0"/>
    <w:rsid w:val="00B00C2E"/>
    <w:rsid w:val="00B01B69"/>
    <w:rsid w:val="00B01D90"/>
    <w:rsid w:val="00B022ED"/>
    <w:rsid w:val="00B024DA"/>
    <w:rsid w:val="00B03601"/>
    <w:rsid w:val="00B03B81"/>
    <w:rsid w:val="00B043CC"/>
    <w:rsid w:val="00B0560E"/>
    <w:rsid w:val="00B05B9A"/>
    <w:rsid w:val="00B07152"/>
    <w:rsid w:val="00B074F6"/>
    <w:rsid w:val="00B1047A"/>
    <w:rsid w:val="00B10D7D"/>
    <w:rsid w:val="00B10E51"/>
    <w:rsid w:val="00B13597"/>
    <w:rsid w:val="00B13DC9"/>
    <w:rsid w:val="00B14BC5"/>
    <w:rsid w:val="00B161F6"/>
    <w:rsid w:val="00B16900"/>
    <w:rsid w:val="00B16C2A"/>
    <w:rsid w:val="00B174BF"/>
    <w:rsid w:val="00B17FE2"/>
    <w:rsid w:val="00B20115"/>
    <w:rsid w:val="00B2033C"/>
    <w:rsid w:val="00B20F00"/>
    <w:rsid w:val="00B23147"/>
    <w:rsid w:val="00B23433"/>
    <w:rsid w:val="00B246AB"/>
    <w:rsid w:val="00B250B9"/>
    <w:rsid w:val="00B25C66"/>
    <w:rsid w:val="00B25CF1"/>
    <w:rsid w:val="00B25FA8"/>
    <w:rsid w:val="00B26431"/>
    <w:rsid w:val="00B2757A"/>
    <w:rsid w:val="00B279B3"/>
    <w:rsid w:val="00B30F45"/>
    <w:rsid w:val="00B31889"/>
    <w:rsid w:val="00B31A7A"/>
    <w:rsid w:val="00B31CB4"/>
    <w:rsid w:val="00B32272"/>
    <w:rsid w:val="00B32779"/>
    <w:rsid w:val="00B32D1F"/>
    <w:rsid w:val="00B32F49"/>
    <w:rsid w:val="00B33593"/>
    <w:rsid w:val="00B33B05"/>
    <w:rsid w:val="00B347A1"/>
    <w:rsid w:val="00B358A1"/>
    <w:rsid w:val="00B35BDC"/>
    <w:rsid w:val="00B362B4"/>
    <w:rsid w:val="00B369C4"/>
    <w:rsid w:val="00B36F5F"/>
    <w:rsid w:val="00B376D4"/>
    <w:rsid w:val="00B3793B"/>
    <w:rsid w:val="00B416AA"/>
    <w:rsid w:val="00B42172"/>
    <w:rsid w:val="00B42476"/>
    <w:rsid w:val="00B4253D"/>
    <w:rsid w:val="00B42C54"/>
    <w:rsid w:val="00B42DC3"/>
    <w:rsid w:val="00B43CFA"/>
    <w:rsid w:val="00B4599E"/>
    <w:rsid w:val="00B45C70"/>
    <w:rsid w:val="00B47278"/>
    <w:rsid w:val="00B50492"/>
    <w:rsid w:val="00B504C5"/>
    <w:rsid w:val="00B50AAB"/>
    <w:rsid w:val="00B52F19"/>
    <w:rsid w:val="00B53096"/>
    <w:rsid w:val="00B53718"/>
    <w:rsid w:val="00B53A9E"/>
    <w:rsid w:val="00B54290"/>
    <w:rsid w:val="00B544C1"/>
    <w:rsid w:val="00B5459C"/>
    <w:rsid w:val="00B545A3"/>
    <w:rsid w:val="00B5582E"/>
    <w:rsid w:val="00B56892"/>
    <w:rsid w:val="00B5693D"/>
    <w:rsid w:val="00B56A56"/>
    <w:rsid w:val="00B575BB"/>
    <w:rsid w:val="00B57BA0"/>
    <w:rsid w:val="00B60937"/>
    <w:rsid w:val="00B6272F"/>
    <w:rsid w:val="00B62823"/>
    <w:rsid w:val="00B62D86"/>
    <w:rsid w:val="00B63249"/>
    <w:rsid w:val="00B63549"/>
    <w:rsid w:val="00B64A88"/>
    <w:rsid w:val="00B64EB2"/>
    <w:rsid w:val="00B653CB"/>
    <w:rsid w:val="00B659D8"/>
    <w:rsid w:val="00B65E74"/>
    <w:rsid w:val="00B66746"/>
    <w:rsid w:val="00B66C0B"/>
    <w:rsid w:val="00B670A5"/>
    <w:rsid w:val="00B6716A"/>
    <w:rsid w:val="00B67408"/>
    <w:rsid w:val="00B702D4"/>
    <w:rsid w:val="00B704E3"/>
    <w:rsid w:val="00B7063E"/>
    <w:rsid w:val="00B724CC"/>
    <w:rsid w:val="00B724DD"/>
    <w:rsid w:val="00B729C2"/>
    <w:rsid w:val="00B72C4B"/>
    <w:rsid w:val="00B72F67"/>
    <w:rsid w:val="00B732CA"/>
    <w:rsid w:val="00B7392F"/>
    <w:rsid w:val="00B74339"/>
    <w:rsid w:val="00B745BC"/>
    <w:rsid w:val="00B74901"/>
    <w:rsid w:val="00B764AA"/>
    <w:rsid w:val="00B76A0E"/>
    <w:rsid w:val="00B77C98"/>
    <w:rsid w:val="00B800AB"/>
    <w:rsid w:val="00B80535"/>
    <w:rsid w:val="00B80D85"/>
    <w:rsid w:val="00B8166F"/>
    <w:rsid w:val="00B84420"/>
    <w:rsid w:val="00B84AC0"/>
    <w:rsid w:val="00B85183"/>
    <w:rsid w:val="00B86BF8"/>
    <w:rsid w:val="00B871AD"/>
    <w:rsid w:val="00B8792B"/>
    <w:rsid w:val="00B87F40"/>
    <w:rsid w:val="00B900AE"/>
    <w:rsid w:val="00B9014A"/>
    <w:rsid w:val="00B9041C"/>
    <w:rsid w:val="00B90A78"/>
    <w:rsid w:val="00B91089"/>
    <w:rsid w:val="00B91D77"/>
    <w:rsid w:val="00B922C2"/>
    <w:rsid w:val="00B926AF"/>
    <w:rsid w:val="00B92941"/>
    <w:rsid w:val="00B93946"/>
    <w:rsid w:val="00B9483E"/>
    <w:rsid w:val="00B9484B"/>
    <w:rsid w:val="00B94E71"/>
    <w:rsid w:val="00B9626D"/>
    <w:rsid w:val="00B9670A"/>
    <w:rsid w:val="00B96E92"/>
    <w:rsid w:val="00B97160"/>
    <w:rsid w:val="00B971E5"/>
    <w:rsid w:val="00BA1BA5"/>
    <w:rsid w:val="00BA1C1F"/>
    <w:rsid w:val="00BA229C"/>
    <w:rsid w:val="00BA34EE"/>
    <w:rsid w:val="00BA35A4"/>
    <w:rsid w:val="00BA5B5B"/>
    <w:rsid w:val="00BA5DF8"/>
    <w:rsid w:val="00BA5F85"/>
    <w:rsid w:val="00BA7146"/>
    <w:rsid w:val="00BA7498"/>
    <w:rsid w:val="00BA7B35"/>
    <w:rsid w:val="00BB0957"/>
    <w:rsid w:val="00BB0EDB"/>
    <w:rsid w:val="00BB382B"/>
    <w:rsid w:val="00BB3F53"/>
    <w:rsid w:val="00BB45D4"/>
    <w:rsid w:val="00BB51EB"/>
    <w:rsid w:val="00BB5661"/>
    <w:rsid w:val="00BB5890"/>
    <w:rsid w:val="00BB5AF2"/>
    <w:rsid w:val="00BB5B4D"/>
    <w:rsid w:val="00BB5CCE"/>
    <w:rsid w:val="00BB65F4"/>
    <w:rsid w:val="00BB7C12"/>
    <w:rsid w:val="00BB7F59"/>
    <w:rsid w:val="00BB7FDE"/>
    <w:rsid w:val="00BC08B1"/>
    <w:rsid w:val="00BC1812"/>
    <w:rsid w:val="00BC1DAB"/>
    <w:rsid w:val="00BC1E9A"/>
    <w:rsid w:val="00BC3EAD"/>
    <w:rsid w:val="00BC49EF"/>
    <w:rsid w:val="00BC672E"/>
    <w:rsid w:val="00BC677F"/>
    <w:rsid w:val="00BC700A"/>
    <w:rsid w:val="00BC7561"/>
    <w:rsid w:val="00BD06FB"/>
    <w:rsid w:val="00BD1327"/>
    <w:rsid w:val="00BD19F8"/>
    <w:rsid w:val="00BD1B83"/>
    <w:rsid w:val="00BD2CA1"/>
    <w:rsid w:val="00BD3E7E"/>
    <w:rsid w:val="00BD42BF"/>
    <w:rsid w:val="00BD4CAB"/>
    <w:rsid w:val="00BD4E10"/>
    <w:rsid w:val="00BD5F33"/>
    <w:rsid w:val="00BD62E9"/>
    <w:rsid w:val="00BD72F0"/>
    <w:rsid w:val="00BD7C86"/>
    <w:rsid w:val="00BD7E45"/>
    <w:rsid w:val="00BE0885"/>
    <w:rsid w:val="00BE09E3"/>
    <w:rsid w:val="00BE09F5"/>
    <w:rsid w:val="00BE0DF7"/>
    <w:rsid w:val="00BE24BF"/>
    <w:rsid w:val="00BE2C7D"/>
    <w:rsid w:val="00BE2F11"/>
    <w:rsid w:val="00BE3347"/>
    <w:rsid w:val="00BE573B"/>
    <w:rsid w:val="00BE6929"/>
    <w:rsid w:val="00BE7CAA"/>
    <w:rsid w:val="00BF0778"/>
    <w:rsid w:val="00BF0788"/>
    <w:rsid w:val="00BF07A1"/>
    <w:rsid w:val="00BF08B5"/>
    <w:rsid w:val="00BF0F71"/>
    <w:rsid w:val="00BF293A"/>
    <w:rsid w:val="00BF3656"/>
    <w:rsid w:val="00BF49D3"/>
    <w:rsid w:val="00BF4B6D"/>
    <w:rsid w:val="00BF58D5"/>
    <w:rsid w:val="00BF5F41"/>
    <w:rsid w:val="00BF67D1"/>
    <w:rsid w:val="00BF6D71"/>
    <w:rsid w:val="00BF71AC"/>
    <w:rsid w:val="00BF76AF"/>
    <w:rsid w:val="00BF76E4"/>
    <w:rsid w:val="00C004CF"/>
    <w:rsid w:val="00C00797"/>
    <w:rsid w:val="00C0085E"/>
    <w:rsid w:val="00C00AAF"/>
    <w:rsid w:val="00C01527"/>
    <w:rsid w:val="00C01861"/>
    <w:rsid w:val="00C01925"/>
    <w:rsid w:val="00C01CF3"/>
    <w:rsid w:val="00C03290"/>
    <w:rsid w:val="00C0350D"/>
    <w:rsid w:val="00C04302"/>
    <w:rsid w:val="00C04AD6"/>
    <w:rsid w:val="00C04D20"/>
    <w:rsid w:val="00C04F25"/>
    <w:rsid w:val="00C058D8"/>
    <w:rsid w:val="00C060A2"/>
    <w:rsid w:val="00C073AB"/>
    <w:rsid w:val="00C07E91"/>
    <w:rsid w:val="00C07E96"/>
    <w:rsid w:val="00C07E9F"/>
    <w:rsid w:val="00C1046B"/>
    <w:rsid w:val="00C114D1"/>
    <w:rsid w:val="00C1155A"/>
    <w:rsid w:val="00C12A8C"/>
    <w:rsid w:val="00C13535"/>
    <w:rsid w:val="00C13907"/>
    <w:rsid w:val="00C1416B"/>
    <w:rsid w:val="00C14815"/>
    <w:rsid w:val="00C14A06"/>
    <w:rsid w:val="00C16F6C"/>
    <w:rsid w:val="00C200C4"/>
    <w:rsid w:val="00C20119"/>
    <w:rsid w:val="00C20769"/>
    <w:rsid w:val="00C20F31"/>
    <w:rsid w:val="00C21178"/>
    <w:rsid w:val="00C21F88"/>
    <w:rsid w:val="00C2251E"/>
    <w:rsid w:val="00C23A91"/>
    <w:rsid w:val="00C240A9"/>
    <w:rsid w:val="00C25606"/>
    <w:rsid w:val="00C26340"/>
    <w:rsid w:val="00C27193"/>
    <w:rsid w:val="00C27439"/>
    <w:rsid w:val="00C302DE"/>
    <w:rsid w:val="00C30C13"/>
    <w:rsid w:val="00C3125E"/>
    <w:rsid w:val="00C31FE8"/>
    <w:rsid w:val="00C32F1F"/>
    <w:rsid w:val="00C339CB"/>
    <w:rsid w:val="00C34234"/>
    <w:rsid w:val="00C35305"/>
    <w:rsid w:val="00C3591A"/>
    <w:rsid w:val="00C3626E"/>
    <w:rsid w:val="00C37F05"/>
    <w:rsid w:val="00C400A4"/>
    <w:rsid w:val="00C400AE"/>
    <w:rsid w:val="00C40971"/>
    <w:rsid w:val="00C41856"/>
    <w:rsid w:val="00C41A22"/>
    <w:rsid w:val="00C42102"/>
    <w:rsid w:val="00C44645"/>
    <w:rsid w:val="00C44A84"/>
    <w:rsid w:val="00C45768"/>
    <w:rsid w:val="00C4714F"/>
    <w:rsid w:val="00C47E6F"/>
    <w:rsid w:val="00C501E1"/>
    <w:rsid w:val="00C5052D"/>
    <w:rsid w:val="00C505A8"/>
    <w:rsid w:val="00C517DD"/>
    <w:rsid w:val="00C5288F"/>
    <w:rsid w:val="00C529AF"/>
    <w:rsid w:val="00C531A2"/>
    <w:rsid w:val="00C53451"/>
    <w:rsid w:val="00C535C7"/>
    <w:rsid w:val="00C544CB"/>
    <w:rsid w:val="00C545DE"/>
    <w:rsid w:val="00C5508A"/>
    <w:rsid w:val="00C556B7"/>
    <w:rsid w:val="00C55DB5"/>
    <w:rsid w:val="00C56044"/>
    <w:rsid w:val="00C5607E"/>
    <w:rsid w:val="00C56119"/>
    <w:rsid w:val="00C57436"/>
    <w:rsid w:val="00C57EDB"/>
    <w:rsid w:val="00C60754"/>
    <w:rsid w:val="00C61634"/>
    <w:rsid w:val="00C61C1F"/>
    <w:rsid w:val="00C6228A"/>
    <w:rsid w:val="00C624B6"/>
    <w:rsid w:val="00C62E99"/>
    <w:rsid w:val="00C630A7"/>
    <w:rsid w:val="00C63CF9"/>
    <w:rsid w:val="00C650AC"/>
    <w:rsid w:val="00C662F9"/>
    <w:rsid w:val="00C673B0"/>
    <w:rsid w:val="00C6741C"/>
    <w:rsid w:val="00C67736"/>
    <w:rsid w:val="00C67E02"/>
    <w:rsid w:val="00C703FF"/>
    <w:rsid w:val="00C70AC2"/>
    <w:rsid w:val="00C7161A"/>
    <w:rsid w:val="00C71887"/>
    <w:rsid w:val="00C71C15"/>
    <w:rsid w:val="00C71FFC"/>
    <w:rsid w:val="00C724EF"/>
    <w:rsid w:val="00C72F9B"/>
    <w:rsid w:val="00C7307E"/>
    <w:rsid w:val="00C734FE"/>
    <w:rsid w:val="00C74129"/>
    <w:rsid w:val="00C74227"/>
    <w:rsid w:val="00C7523F"/>
    <w:rsid w:val="00C761A3"/>
    <w:rsid w:val="00C76414"/>
    <w:rsid w:val="00C76F16"/>
    <w:rsid w:val="00C77CE0"/>
    <w:rsid w:val="00C77F79"/>
    <w:rsid w:val="00C77FF5"/>
    <w:rsid w:val="00C804B4"/>
    <w:rsid w:val="00C813DE"/>
    <w:rsid w:val="00C81414"/>
    <w:rsid w:val="00C81627"/>
    <w:rsid w:val="00C8197D"/>
    <w:rsid w:val="00C8211F"/>
    <w:rsid w:val="00C84695"/>
    <w:rsid w:val="00C855C9"/>
    <w:rsid w:val="00C86BD6"/>
    <w:rsid w:val="00C87A6F"/>
    <w:rsid w:val="00C87AEC"/>
    <w:rsid w:val="00C87C50"/>
    <w:rsid w:val="00C907E9"/>
    <w:rsid w:val="00C90FC3"/>
    <w:rsid w:val="00C92764"/>
    <w:rsid w:val="00C927C5"/>
    <w:rsid w:val="00C929D8"/>
    <w:rsid w:val="00C92FB3"/>
    <w:rsid w:val="00C9352C"/>
    <w:rsid w:val="00C93BC2"/>
    <w:rsid w:val="00C94103"/>
    <w:rsid w:val="00C9456B"/>
    <w:rsid w:val="00C94846"/>
    <w:rsid w:val="00C95165"/>
    <w:rsid w:val="00C95A5B"/>
    <w:rsid w:val="00C9680C"/>
    <w:rsid w:val="00C97497"/>
    <w:rsid w:val="00C97F25"/>
    <w:rsid w:val="00C97FF4"/>
    <w:rsid w:val="00CA0DF2"/>
    <w:rsid w:val="00CA11E1"/>
    <w:rsid w:val="00CA1D6E"/>
    <w:rsid w:val="00CA269E"/>
    <w:rsid w:val="00CA3075"/>
    <w:rsid w:val="00CA322E"/>
    <w:rsid w:val="00CA3559"/>
    <w:rsid w:val="00CA35D2"/>
    <w:rsid w:val="00CA377C"/>
    <w:rsid w:val="00CA4370"/>
    <w:rsid w:val="00CA4AFF"/>
    <w:rsid w:val="00CA4C23"/>
    <w:rsid w:val="00CA5351"/>
    <w:rsid w:val="00CA5520"/>
    <w:rsid w:val="00CA5BEE"/>
    <w:rsid w:val="00CA755F"/>
    <w:rsid w:val="00CA7EEC"/>
    <w:rsid w:val="00CB0C49"/>
    <w:rsid w:val="00CB0E63"/>
    <w:rsid w:val="00CB1C97"/>
    <w:rsid w:val="00CB2112"/>
    <w:rsid w:val="00CB24D7"/>
    <w:rsid w:val="00CB2F2F"/>
    <w:rsid w:val="00CB458E"/>
    <w:rsid w:val="00CB478D"/>
    <w:rsid w:val="00CB4D7B"/>
    <w:rsid w:val="00CB4E61"/>
    <w:rsid w:val="00CB5025"/>
    <w:rsid w:val="00CB51F6"/>
    <w:rsid w:val="00CB5951"/>
    <w:rsid w:val="00CB5A99"/>
    <w:rsid w:val="00CB5CA9"/>
    <w:rsid w:val="00CB6D12"/>
    <w:rsid w:val="00CB7520"/>
    <w:rsid w:val="00CC0DB3"/>
    <w:rsid w:val="00CC0EAD"/>
    <w:rsid w:val="00CC1385"/>
    <w:rsid w:val="00CC2EBD"/>
    <w:rsid w:val="00CC3C36"/>
    <w:rsid w:val="00CC3CF9"/>
    <w:rsid w:val="00CC45D8"/>
    <w:rsid w:val="00CC475A"/>
    <w:rsid w:val="00CC5011"/>
    <w:rsid w:val="00CC52FC"/>
    <w:rsid w:val="00CC5357"/>
    <w:rsid w:val="00CC56FF"/>
    <w:rsid w:val="00CC5C79"/>
    <w:rsid w:val="00CC6708"/>
    <w:rsid w:val="00CC6842"/>
    <w:rsid w:val="00CC6889"/>
    <w:rsid w:val="00CC6DF6"/>
    <w:rsid w:val="00CC7E65"/>
    <w:rsid w:val="00CD0072"/>
    <w:rsid w:val="00CD06AB"/>
    <w:rsid w:val="00CD09A4"/>
    <w:rsid w:val="00CD0BAA"/>
    <w:rsid w:val="00CD0F48"/>
    <w:rsid w:val="00CD1707"/>
    <w:rsid w:val="00CD1E2C"/>
    <w:rsid w:val="00CD2B6E"/>
    <w:rsid w:val="00CD5992"/>
    <w:rsid w:val="00CD6039"/>
    <w:rsid w:val="00CD6602"/>
    <w:rsid w:val="00CE11DB"/>
    <w:rsid w:val="00CE1B71"/>
    <w:rsid w:val="00CE1CC1"/>
    <w:rsid w:val="00CE2A40"/>
    <w:rsid w:val="00CE31F2"/>
    <w:rsid w:val="00CE352C"/>
    <w:rsid w:val="00CE382F"/>
    <w:rsid w:val="00CE39AF"/>
    <w:rsid w:val="00CE4787"/>
    <w:rsid w:val="00CE587F"/>
    <w:rsid w:val="00CE5C11"/>
    <w:rsid w:val="00CE6137"/>
    <w:rsid w:val="00CE6BC3"/>
    <w:rsid w:val="00CE6DCD"/>
    <w:rsid w:val="00CE6E8B"/>
    <w:rsid w:val="00CE702C"/>
    <w:rsid w:val="00CE7331"/>
    <w:rsid w:val="00CE73A1"/>
    <w:rsid w:val="00CF0A1B"/>
    <w:rsid w:val="00CF1212"/>
    <w:rsid w:val="00CF32D0"/>
    <w:rsid w:val="00CF47A7"/>
    <w:rsid w:val="00CF6C48"/>
    <w:rsid w:val="00CF797A"/>
    <w:rsid w:val="00CF7EED"/>
    <w:rsid w:val="00D01E66"/>
    <w:rsid w:val="00D02023"/>
    <w:rsid w:val="00D020E5"/>
    <w:rsid w:val="00D03A26"/>
    <w:rsid w:val="00D03A76"/>
    <w:rsid w:val="00D047C8"/>
    <w:rsid w:val="00D048B1"/>
    <w:rsid w:val="00D05FA2"/>
    <w:rsid w:val="00D05FB0"/>
    <w:rsid w:val="00D066AB"/>
    <w:rsid w:val="00D07050"/>
    <w:rsid w:val="00D07E62"/>
    <w:rsid w:val="00D107C8"/>
    <w:rsid w:val="00D10C36"/>
    <w:rsid w:val="00D1132F"/>
    <w:rsid w:val="00D11531"/>
    <w:rsid w:val="00D1166B"/>
    <w:rsid w:val="00D12BE9"/>
    <w:rsid w:val="00D12F0F"/>
    <w:rsid w:val="00D13C63"/>
    <w:rsid w:val="00D145D0"/>
    <w:rsid w:val="00D15040"/>
    <w:rsid w:val="00D15236"/>
    <w:rsid w:val="00D15E82"/>
    <w:rsid w:val="00D16152"/>
    <w:rsid w:val="00D16320"/>
    <w:rsid w:val="00D1686A"/>
    <w:rsid w:val="00D17A16"/>
    <w:rsid w:val="00D17CED"/>
    <w:rsid w:val="00D20151"/>
    <w:rsid w:val="00D20747"/>
    <w:rsid w:val="00D20DB3"/>
    <w:rsid w:val="00D21482"/>
    <w:rsid w:val="00D21678"/>
    <w:rsid w:val="00D21AF1"/>
    <w:rsid w:val="00D227C0"/>
    <w:rsid w:val="00D22F24"/>
    <w:rsid w:val="00D23645"/>
    <w:rsid w:val="00D2439D"/>
    <w:rsid w:val="00D2454F"/>
    <w:rsid w:val="00D24A35"/>
    <w:rsid w:val="00D24BED"/>
    <w:rsid w:val="00D25384"/>
    <w:rsid w:val="00D253D8"/>
    <w:rsid w:val="00D25797"/>
    <w:rsid w:val="00D258D4"/>
    <w:rsid w:val="00D30C25"/>
    <w:rsid w:val="00D328E7"/>
    <w:rsid w:val="00D32C88"/>
    <w:rsid w:val="00D3432B"/>
    <w:rsid w:val="00D3540C"/>
    <w:rsid w:val="00D35D1F"/>
    <w:rsid w:val="00D376D2"/>
    <w:rsid w:val="00D377C6"/>
    <w:rsid w:val="00D37E47"/>
    <w:rsid w:val="00D40B1F"/>
    <w:rsid w:val="00D41004"/>
    <w:rsid w:val="00D41036"/>
    <w:rsid w:val="00D41FA7"/>
    <w:rsid w:val="00D4209E"/>
    <w:rsid w:val="00D423E9"/>
    <w:rsid w:val="00D42772"/>
    <w:rsid w:val="00D429F0"/>
    <w:rsid w:val="00D42E3C"/>
    <w:rsid w:val="00D43BE8"/>
    <w:rsid w:val="00D4400B"/>
    <w:rsid w:val="00D44174"/>
    <w:rsid w:val="00D44760"/>
    <w:rsid w:val="00D44E18"/>
    <w:rsid w:val="00D4618C"/>
    <w:rsid w:val="00D50F49"/>
    <w:rsid w:val="00D5148D"/>
    <w:rsid w:val="00D52187"/>
    <w:rsid w:val="00D52F1B"/>
    <w:rsid w:val="00D534BB"/>
    <w:rsid w:val="00D538E9"/>
    <w:rsid w:val="00D5400F"/>
    <w:rsid w:val="00D542BE"/>
    <w:rsid w:val="00D555A5"/>
    <w:rsid w:val="00D55B86"/>
    <w:rsid w:val="00D5679C"/>
    <w:rsid w:val="00D56E53"/>
    <w:rsid w:val="00D578D6"/>
    <w:rsid w:val="00D60183"/>
    <w:rsid w:val="00D61486"/>
    <w:rsid w:val="00D615DE"/>
    <w:rsid w:val="00D635AD"/>
    <w:rsid w:val="00D648CC"/>
    <w:rsid w:val="00D64969"/>
    <w:rsid w:val="00D664B4"/>
    <w:rsid w:val="00D670CF"/>
    <w:rsid w:val="00D70C6F"/>
    <w:rsid w:val="00D718BC"/>
    <w:rsid w:val="00D735F6"/>
    <w:rsid w:val="00D73659"/>
    <w:rsid w:val="00D73B94"/>
    <w:rsid w:val="00D73DFE"/>
    <w:rsid w:val="00D74241"/>
    <w:rsid w:val="00D753A2"/>
    <w:rsid w:val="00D753FA"/>
    <w:rsid w:val="00D76223"/>
    <w:rsid w:val="00D76B77"/>
    <w:rsid w:val="00D7702E"/>
    <w:rsid w:val="00D80526"/>
    <w:rsid w:val="00D80CCC"/>
    <w:rsid w:val="00D8131B"/>
    <w:rsid w:val="00D82125"/>
    <w:rsid w:val="00D83C3F"/>
    <w:rsid w:val="00D847C2"/>
    <w:rsid w:val="00D853D7"/>
    <w:rsid w:val="00D859F6"/>
    <w:rsid w:val="00D86104"/>
    <w:rsid w:val="00D87F90"/>
    <w:rsid w:val="00D90071"/>
    <w:rsid w:val="00D91166"/>
    <w:rsid w:val="00D930FB"/>
    <w:rsid w:val="00D9326C"/>
    <w:rsid w:val="00D936A4"/>
    <w:rsid w:val="00D93BA1"/>
    <w:rsid w:val="00D93C71"/>
    <w:rsid w:val="00D94EB8"/>
    <w:rsid w:val="00D95082"/>
    <w:rsid w:val="00D9583B"/>
    <w:rsid w:val="00D96BE1"/>
    <w:rsid w:val="00D977E4"/>
    <w:rsid w:val="00DA0A6B"/>
    <w:rsid w:val="00DA153A"/>
    <w:rsid w:val="00DA22A6"/>
    <w:rsid w:val="00DA2664"/>
    <w:rsid w:val="00DA34BC"/>
    <w:rsid w:val="00DA3E03"/>
    <w:rsid w:val="00DA3E35"/>
    <w:rsid w:val="00DA4824"/>
    <w:rsid w:val="00DA548F"/>
    <w:rsid w:val="00DA5C59"/>
    <w:rsid w:val="00DA776D"/>
    <w:rsid w:val="00DB08A9"/>
    <w:rsid w:val="00DB0ED7"/>
    <w:rsid w:val="00DB0F38"/>
    <w:rsid w:val="00DB1271"/>
    <w:rsid w:val="00DB1414"/>
    <w:rsid w:val="00DB15BE"/>
    <w:rsid w:val="00DB160D"/>
    <w:rsid w:val="00DB2C4A"/>
    <w:rsid w:val="00DB30CA"/>
    <w:rsid w:val="00DB3458"/>
    <w:rsid w:val="00DB3C2A"/>
    <w:rsid w:val="00DB425D"/>
    <w:rsid w:val="00DB5257"/>
    <w:rsid w:val="00DB6065"/>
    <w:rsid w:val="00DB620D"/>
    <w:rsid w:val="00DB6813"/>
    <w:rsid w:val="00DB6EA3"/>
    <w:rsid w:val="00DB75FC"/>
    <w:rsid w:val="00DB78A4"/>
    <w:rsid w:val="00DB7C2C"/>
    <w:rsid w:val="00DC00A5"/>
    <w:rsid w:val="00DC01D9"/>
    <w:rsid w:val="00DC037C"/>
    <w:rsid w:val="00DC05A8"/>
    <w:rsid w:val="00DC19B0"/>
    <w:rsid w:val="00DC4453"/>
    <w:rsid w:val="00DC614B"/>
    <w:rsid w:val="00DC798F"/>
    <w:rsid w:val="00DD0200"/>
    <w:rsid w:val="00DD0447"/>
    <w:rsid w:val="00DD17BE"/>
    <w:rsid w:val="00DD1E99"/>
    <w:rsid w:val="00DD298A"/>
    <w:rsid w:val="00DD2A3A"/>
    <w:rsid w:val="00DD2B92"/>
    <w:rsid w:val="00DD3128"/>
    <w:rsid w:val="00DD3A8C"/>
    <w:rsid w:val="00DD4F89"/>
    <w:rsid w:val="00DD5911"/>
    <w:rsid w:val="00DD5CD0"/>
    <w:rsid w:val="00DD5E00"/>
    <w:rsid w:val="00DD5F5F"/>
    <w:rsid w:val="00DD7741"/>
    <w:rsid w:val="00DE11E5"/>
    <w:rsid w:val="00DE2D96"/>
    <w:rsid w:val="00DE33AB"/>
    <w:rsid w:val="00DE365B"/>
    <w:rsid w:val="00DE3AA4"/>
    <w:rsid w:val="00DE41E0"/>
    <w:rsid w:val="00DE4456"/>
    <w:rsid w:val="00DE552D"/>
    <w:rsid w:val="00DE56FB"/>
    <w:rsid w:val="00DE59AF"/>
    <w:rsid w:val="00DE5A61"/>
    <w:rsid w:val="00DE67E4"/>
    <w:rsid w:val="00DE7500"/>
    <w:rsid w:val="00DE7904"/>
    <w:rsid w:val="00DF057A"/>
    <w:rsid w:val="00DF0800"/>
    <w:rsid w:val="00DF1111"/>
    <w:rsid w:val="00DF1129"/>
    <w:rsid w:val="00DF1400"/>
    <w:rsid w:val="00DF2295"/>
    <w:rsid w:val="00DF2A68"/>
    <w:rsid w:val="00DF2DF5"/>
    <w:rsid w:val="00DF30B1"/>
    <w:rsid w:val="00DF3109"/>
    <w:rsid w:val="00DF36FB"/>
    <w:rsid w:val="00DF392D"/>
    <w:rsid w:val="00DF403A"/>
    <w:rsid w:val="00DF443E"/>
    <w:rsid w:val="00DF47B8"/>
    <w:rsid w:val="00DF4872"/>
    <w:rsid w:val="00DF4B6C"/>
    <w:rsid w:val="00DF57AE"/>
    <w:rsid w:val="00DF5C35"/>
    <w:rsid w:val="00DF64F2"/>
    <w:rsid w:val="00DF6A1E"/>
    <w:rsid w:val="00DF780F"/>
    <w:rsid w:val="00E001AC"/>
    <w:rsid w:val="00E00F2E"/>
    <w:rsid w:val="00E01D57"/>
    <w:rsid w:val="00E0258B"/>
    <w:rsid w:val="00E028F7"/>
    <w:rsid w:val="00E03250"/>
    <w:rsid w:val="00E0381F"/>
    <w:rsid w:val="00E03CAE"/>
    <w:rsid w:val="00E03DA7"/>
    <w:rsid w:val="00E03E8B"/>
    <w:rsid w:val="00E04A68"/>
    <w:rsid w:val="00E04C3B"/>
    <w:rsid w:val="00E05285"/>
    <w:rsid w:val="00E05A45"/>
    <w:rsid w:val="00E05D75"/>
    <w:rsid w:val="00E06D39"/>
    <w:rsid w:val="00E07727"/>
    <w:rsid w:val="00E07D09"/>
    <w:rsid w:val="00E07E00"/>
    <w:rsid w:val="00E1039C"/>
    <w:rsid w:val="00E108AF"/>
    <w:rsid w:val="00E11A1E"/>
    <w:rsid w:val="00E11B60"/>
    <w:rsid w:val="00E122FA"/>
    <w:rsid w:val="00E12B7C"/>
    <w:rsid w:val="00E133F3"/>
    <w:rsid w:val="00E13D9D"/>
    <w:rsid w:val="00E141D1"/>
    <w:rsid w:val="00E146D9"/>
    <w:rsid w:val="00E1518C"/>
    <w:rsid w:val="00E1566F"/>
    <w:rsid w:val="00E15C7F"/>
    <w:rsid w:val="00E17B20"/>
    <w:rsid w:val="00E20012"/>
    <w:rsid w:val="00E21DE9"/>
    <w:rsid w:val="00E2332A"/>
    <w:rsid w:val="00E2518C"/>
    <w:rsid w:val="00E25505"/>
    <w:rsid w:val="00E25876"/>
    <w:rsid w:val="00E25BB7"/>
    <w:rsid w:val="00E25DFE"/>
    <w:rsid w:val="00E26960"/>
    <w:rsid w:val="00E26F7D"/>
    <w:rsid w:val="00E2702E"/>
    <w:rsid w:val="00E30938"/>
    <w:rsid w:val="00E3150D"/>
    <w:rsid w:val="00E3272C"/>
    <w:rsid w:val="00E32BEC"/>
    <w:rsid w:val="00E32E38"/>
    <w:rsid w:val="00E33F68"/>
    <w:rsid w:val="00E343F7"/>
    <w:rsid w:val="00E34589"/>
    <w:rsid w:val="00E36728"/>
    <w:rsid w:val="00E36D3C"/>
    <w:rsid w:val="00E36D92"/>
    <w:rsid w:val="00E406E0"/>
    <w:rsid w:val="00E41726"/>
    <w:rsid w:val="00E428AC"/>
    <w:rsid w:val="00E428C8"/>
    <w:rsid w:val="00E42A48"/>
    <w:rsid w:val="00E440E6"/>
    <w:rsid w:val="00E44439"/>
    <w:rsid w:val="00E4469C"/>
    <w:rsid w:val="00E447DC"/>
    <w:rsid w:val="00E45070"/>
    <w:rsid w:val="00E453B1"/>
    <w:rsid w:val="00E4560F"/>
    <w:rsid w:val="00E45BD8"/>
    <w:rsid w:val="00E45BF9"/>
    <w:rsid w:val="00E45CCE"/>
    <w:rsid w:val="00E45E1B"/>
    <w:rsid w:val="00E4657F"/>
    <w:rsid w:val="00E4689E"/>
    <w:rsid w:val="00E4695F"/>
    <w:rsid w:val="00E46D86"/>
    <w:rsid w:val="00E51420"/>
    <w:rsid w:val="00E5260A"/>
    <w:rsid w:val="00E529EE"/>
    <w:rsid w:val="00E53302"/>
    <w:rsid w:val="00E53E38"/>
    <w:rsid w:val="00E5443D"/>
    <w:rsid w:val="00E544D8"/>
    <w:rsid w:val="00E55596"/>
    <w:rsid w:val="00E559C8"/>
    <w:rsid w:val="00E561EE"/>
    <w:rsid w:val="00E564A8"/>
    <w:rsid w:val="00E56974"/>
    <w:rsid w:val="00E604B3"/>
    <w:rsid w:val="00E60780"/>
    <w:rsid w:val="00E60C0B"/>
    <w:rsid w:val="00E61CAB"/>
    <w:rsid w:val="00E61F31"/>
    <w:rsid w:val="00E62340"/>
    <w:rsid w:val="00E63350"/>
    <w:rsid w:val="00E63BAC"/>
    <w:rsid w:val="00E655C4"/>
    <w:rsid w:val="00E65829"/>
    <w:rsid w:val="00E6721A"/>
    <w:rsid w:val="00E67C1F"/>
    <w:rsid w:val="00E67EEF"/>
    <w:rsid w:val="00E67FEE"/>
    <w:rsid w:val="00E70C79"/>
    <w:rsid w:val="00E71CFD"/>
    <w:rsid w:val="00E72054"/>
    <w:rsid w:val="00E72559"/>
    <w:rsid w:val="00E72602"/>
    <w:rsid w:val="00E73AD5"/>
    <w:rsid w:val="00E740A3"/>
    <w:rsid w:val="00E7577A"/>
    <w:rsid w:val="00E7587D"/>
    <w:rsid w:val="00E75CC1"/>
    <w:rsid w:val="00E76645"/>
    <w:rsid w:val="00E76BF3"/>
    <w:rsid w:val="00E7729F"/>
    <w:rsid w:val="00E7786F"/>
    <w:rsid w:val="00E77FDE"/>
    <w:rsid w:val="00E801FC"/>
    <w:rsid w:val="00E8031A"/>
    <w:rsid w:val="00E813B3"/>
    <w:rsid w:val="00E8189F"/>
    <w:rsid w:val="00E83681"/>
    <w:rsid w:val="00E83793"/>
    <w:rsid w:val="00E84338"/>
    <w:rsid w:val="00E856A5"/>
    <w:rsid w:val="00E85797"/>
    <w:rsid w:val="00E8609D"/>
    <w:rsid w:val="00E861B8"/>
    <w:rsid w:val="00E864C0"/>
    <w:rsid w:val="00E8660F"/>
    <w:rsid w:val="00E8679E"/>
    <w:rsid w:val="00E86C3F"/>
    <w:rsid w:val="00E86D88"/>
    <w:rsid w:val="00E86D8A"/>
    <w:rsid w:val="00E86E00"/>
    <w:rsid w:val="00E87F30"/>
    <w:rsid w:val="00E90FB2"/>
    <w:rsid w:val="00E91212"/>
    <w:rsid w:val="00E9178C"/>
    <w:rsid w:val="00E92021"/>
    <w:rsid w:val="00E92E2F"/>
    <w:rsid w:val="00E9364E"/>
    <w:rsid w:val="00E94503"/>
    <w:rsid w:val="00E94532"/>
    <w:rsid w:val="00E95537"/>
    <w:rsid w:val="00E95759"/>
    <w:rsid w:val="00E95CBB"/>
    <w:rsid w:val="00E962EA"/>
    <w:rsid w:val="00E96527"/>
    <w:rsid w:val="00E96860"/>
    <w:rsid w:val="00EA0392"/>
    <w:rsid w:val="00EA0619"/>
    <w:rsid w:val="00EA06E9"/>
    <w:rsid w:val="00EA0E8B"/>
    <w:rsid w:val="00EA12F8"/>
    <w:rsid w:val="00EA178E"/>
    <w:rsid w:val="00EA37B4"/>
    <w:rsid w:val="00EA49E0"/>
    <w:rsid w:val="00EA5E40"/>
    <w:rsid w:val="00EA5EA1"/>
    <w:rsid w:val="00EA7147"/>
    <w:rsid w:val="00EB0549"/>
    <w:rsid w:val="00EB0AA7"/>
    <w:rsid w:val="00EB137A"/>
    <w:rsid w:val="00EB265E"/>
    <w:rsid w:val="00EB2662"/>
    <w:rsid w:val="00EB385C"/>
    <w:rsid w:val="00EB3E70"/>
    <w:rsid w:val="00EB72A2"/>
    <w:rsid w:val="00EC03F6"/>
    <w:rsid w:val="00EC089F"/>
    <w:rsid w:val="00EC0947"/>
    <w:rsid w:val="00EC0EC5"/>
    <w:rsid w:val="00EC13EC"/>
    <w:rsid w:val="00EC13F6"/>
    <w:rsid w:val="00EC1F4C"/>
    <w:rsid w:val="00EC2B2C"/>
    <w:rsid w:val="00EC4663"/>
    <w:rsid w:val="00EC4B4F"/>
    <w:rsid w:val="00EC6F5B"/>
    <w:rsid w:val="00EC7C0F"/>
    <w:rsid w:val="00ED00FB"/>
    <w:rsid w:val="00ED0381"/>
    <w:rsid w:val="00ED071D"/>
    <w:rsid w:val="00ED1F63"/>
    <w:rsid w:val="00ED21DA"/>
    <w:rsid w:val="00ED2721"/>
    <w:rsid w:val="00ED2FF5"/>
    <w:rsid w:val="00ED3762"/>
    <w:rsid w:val="00ED4B7D"/>
    <w:rsid w:val="00ED4D6F"/>
    <w:rsid w:val="00ED5146"/>
    <w:rsid w:val="00ED56C0"/>
    <w:rsid w:val="00ED6799"/>
    <w:rsid w:val="00ED7636"/>
    <w:rsid w:val="00EE0AED"/>
    <w:rsid w:val="00EE1125"/>
    <w:rsid w:val="00EE12B4"/>
    <w:rsid w:val="00EE1DE7"/>
    <w:rsid w:val="00EE1E92"/>
    <w:rsid w:val="00EE2193"/>
    <w:rsid w:val="00EE24B6"/>
    <w:rsid w:val="00EE25DA"/>
    <w:rsid w:val="00EE284D"/>
    <w:rsid w:val="00EE3137"/>
    <w:rsid w:val="00EE3216"/>
    <w:rsid w:val="00EE32A8"/>
    <w:rsid w:val="00EE357F"/>
    <w:rsid w:val="00EE35FC"/>
    <w:rsid w:val="00EE36DB"/>
    <w:rsid w:val="00EE4CE1"/>
    <w:rsid w:val="00EE4F4C"/>
    <w:rsid w:val="00EE5B23"/>
    <w:rsid w:val="00EE6089"/>
    <w:rsid w:val="00EE6CEB"/>
    <w:rsid w:val="00EE6E0D"/>
    <w:rsid w:val="00EE6E83"/>
    <w:rsid w:val="00EE75AE"/>
    <w:rsid w:val="00EF00DE"/>
    <w:rsid w:val="00EF0136"/>
    <w:rsid w:val="00EF04EC"/>
    <w:rsid w:val="00EF1F36"/>
    <w:rsid w:val="00EF288A"/>
    <w:rsid w:val="00EF2B4A"/>
    <w:rsid w:val="00EF30E2"/>
    <w:rsid w:val="00EF3261"/>
    <w:rsid w:val="00EF3E35"/>
    <w:rsid w:val="00EF40C5"/>
    <w:rsid w:val="00EF4E07"/>
    <w:rsid w:val="00EF6A51"/>
    <w:rsid w:val="00EF6EC1"/>
    <w:rsid w:val="00F0003A"/>
    <w:rsid w:val="00F017F0"/>
    <w:rsid w:val="00F01A04"/>
    <w:rsid w:val="00F02DE0"/>
    <w:rsid w:val="00F04157"/>
    <w:rsid w:val="00F04270"/>
    <w:rsid w:val="00F04378"/>
    <w:rsid w:val="00F04778"/>
    <w:rsid w:val="00F05B41"/>
    <w:rsid w:val="00F05DA1"/>
    <w:rsid w:val="00F06118"/>
    <w:rsid w:val="00F06289"/>
    <w:rsid w:val="00F077D5"/>
    <w:rsid w:val="00F10591"/>
    <w:rsid w:val="00F110BC"/>
    <w:rsid w:val="00F1111B"/>
    <w:rsid w:val="00F1207E"/>
    <w:rsid w:val="00F12C08"/>
    <w:rsid w:val="00F12C68"/>
    <w:rsid w:val="00F12E41"/>
    <w:rsid w:val="00F139C3"/>
    <w:rsid w:val="00F13F62"/>
    <w:rsid w:val="00F14F69"/>
    <w:rsid w:val="00F15C95"/>
    <w:rsid w:val="00F1684A"/>
    <w:rsid w:val="00F16A1A"/>
    <w:rsid w:val="00F17204"/>
    <w:rsid w:val="00F2014E"/>
    <w:rsid w:val="00F20622"/>
    <w:rsid w:val="00F20904"/>
    <w:rsid w:val="00F20B89"/>
    <w:rsid w:val="00F218A4"/>
    <w:rsid w:val="00F232F7"/>
    <w:rsid w:val="00F236E1"/>
    <w:rsid w:val="00F24557"/>
    <w:rsid w:val="00F246B2"/>
    <w:rsid w:val="00F253FD"/>
    <w:rsid w:val="00F268C9"/>
    <w:rsid w:val="00F26BF9"/>
    <w:rsid w:val="00F277CC"/>
    <w:rsid w:val="00F306EF"/>
    <w:rsid w:val="00F30734"/>
    <w:rsid w:val="00F31890"/>
    <w:rsid w:val="00F3353F"/>
    <w:rsid w:val="00F3467D"/>
    <w:rsid w:val="00F3625E"/>
    <w:rsid w:val="00F36754"/>
    <w:rsid w:val="00F36F2E"/>
    <w:rsid w:val="00F378E1"/>
    <w:rsid w:val="00F40142"/>
    <w:rsid w:val="00F40773"/>
    <w:rsid w:val="00F416BE"/>
    <w:rsid w:val="00F41DA1"/>
    <w:rsid w:val="00F421EA"/>
    <w:rsid w:val="00F42903"/>
    <w:rsid w:val="00F436F7"/>
    <w:rsid w:val="00F43B73"/>
    <w:rsid w:val="00F43F5C"/>
    <w:rsid w:val="00F4440A"/>
    <w:rsid w:val="00F4530A"/>
    <w:rsid w:val="00F4541B"/>
    <w:rsid w:val="00F462E1"/>
    <w:rsid w:val="00F502C5"/>
    <w:rsid w:val="00F504F1"/>
    <w:rsid w:val="00F5080A"/>
    <w:rsid w:val="00F509DD"/>
    <w:rsid w:val="00F511A8"/>
    <w:rsid w:val="00F515AD"/>
    <w:rsid w:val="00F51FE5"/>
    <w:rsid w:val="00F529CA"/>
    <w:rsid w:val="00F52C28"/>
    <w:rsid w:val="00F5330D"/>
    <w:rsid w:val="00F53345"/>
    <w:rsid w:val="00F536A6"/>
    <w:rsid w:val="00F53C65"/>
    <w:rsid w:val="00F54A3B"/>
    <w:rsid w:val="00F54EFD"/>
    <w:rsid w:val="00F5566E"/>
    <w:rsid w:val="00F55921"/>
    <w:rsid w:val="00F55AB2"/>
    <w:rsid w:val="00F55D37"/>
    <w:rsid w:val="00F568E1"/>
    <w:rsid w:val="00F56FDE"/>
    <w:rsid w:val="00F606D5"/>
    <w:rsid w:val="00F6124E"/>
    <w:rsid w:val="00F615F7"/>
    <w:rsid w:val="00F6184B"/>
    <w:rsid w:val="00F6185D"/>
    <w:rsid w:val="00F62FCA"/>
    <w:rsid w:val="00F630B9"/>
    <w:rsid w:val="00F63C2A"/>
    <w:rsid w:val="00F65139"/>
    <w:rsid w:val="00F6556F"/>
    <w:rsid w:val="00F65AD8"/>
    <w:rsid w:val="00F65E57"/>
    <w:rsid w:val="00F669E2"/>
    <w:rsid w:val="00F67FD7"/>
    <w:rsid w:val="00F70220"/>
    <w:rsid w:val="00F70880"/>
    <w:rsid w:val="00F7118E"/>
    <w:rsid w:val="00F71275"/>
    <w:rsid w:val="00F713C5"/>
    <w:rsid w:val="00F714B5"/>
    <w:rsid w:val="00F719FB"/>
    <w:rsid w:val="00F720A5"/>
    <w:rsid w:val="00F72697"/>
    <w:rsid w:val="00F73A42"/>
    <w:rsid w:val="00F74391"/>
    <w:rsid w:val="00F74BA2"/>
    <w:rsid w:val="00F74FA1"/>
    <w:rsid w:val="00F755BF"/>
    <w:rsid w:val="00F829A8"/>
    <w:rsid w:val="00F82CB9"/>
    <w:rsid w:val="00F83BDF"/>
    <w:rsid w:val="00F85AB7"/>
    <w:rsid w:val="00F85CBF"/>
    <w:rsid w:val="00F860EE"/>
    <w:rsid w:val="00F868FF"/>
    <w:rsid w:val="00F86EEB"/>
    <w:rsid w:val="00F900B8"/>
    <w:rsid w:val="00F906EF"/>
    <w:rsid w:val="00F90E7F"/>
    <w:rsid w:val="00F90FEF"/>
    <w:rsid w:val="00F9116C"/>
    <w:rsid w:val="00F912AF"/>
    <w:rsid w:val="00F91882"/>
    <w:rsid w:val="00F91B7F"/>
    <w:rsid w:val="00F91C62"/>
    <w:rsid w:val="00F91CDD"/>
    <w:rsid w:val="00F9211E"/>
    <w:rsid w:val="00F922EB"/>
    <w:rsid w:val="00F9281A"/>
    <w:rsid w:val="00F9290B"/>
    <w:rsid w:val="00F93961"/>
    <w:rsid w:val="00F943AA"/>
    <w:rsid w:val="00F94C23"/>
    <w:rsid w:val="00F94EF2"/>
    <w:rsid w:val="00F954B2"/>
    <w:rsid w:val="00F957CF"/>
    <w:rsid w:val="00F95B79"/>
    <w:rsid w:val="00F95F06"/>
    <w:rsid w:val="00F95F88"/>
    <w:rsid w:val="00F96BAC"/>
    <w:rsid w:val="00F97911"/>
    <w:rsid w:val="00FA04DD"/>
    <w:rsid w:val="00FA2E19"/>
    <w:rsid w:val="00FA37A3"/>
    <w:rsid w:val="00FA3A39"/>
    <w:rsid w:val="00FA3CF4"/>
    <w:rsid w:val="00FA3FF0"/>
    <w:rsid w:val="00FA6513"/>
    <w:rsid w:val="00FA6B8C"/>
    <w:rsid w:val="00FA7250"/>
    <w:rsid w:val="00FA729F"/>
    <w:rsid w:val="00FA7C40"/>
    <w:rsid w:val="00FB0137"/>
    <w:rsid w:val="00FB0CD4"/>
    <w:rsid w:val="00FB0F33"/>
    <w:rsid w:val="00FB202C"/>
    <w:rsid w:val="00FB3584"/>
    <w:rsid w:val="00FB618D"/>
    <w:rsid w:val="00FC03D3"/>
    <w:rsid w:val="00FC1690"/>
    <w:rsid w:val="00FC1D5B"/>
    <w:rsid w:val="00FC341D"/>
    <w:rsid w:val="00FC6AE9"/>
    <w:rsid w:val="00FD036C"/>
    <w:rsid w:val="00FD0375"/>
    <w:rsid w:val="00FD0B12"/>
    <w:rsid w:val="00FD0E97"/>
    <w:rsid w:val="00FD0F13"/>
    <w:rsid w:val="00FD360B"/>
    <w:rsid w:val="00FD3A84"/>
    <w:rsid w:val="00FD44B3"/>
    <w:rsid w:val="00FD4A9B"/>
    <w:rsid w:val="00FD5FEE"/>
    <w:rsid w:val="00FD670D"/>
    <w:rsid w:val="00FE0CC6"/>
    <w:rsid w:val="00FE0CDE"/>
    <w:rsid w:val="00FE1BA2"/>
    <w:rsid w:val="00FE2F75"/>
    <w:rsid w:val="00FE3234"/>
    <w:rsid w:val="00FE4424"/>
    <w:rsid w:val="00FE4834"/>
    <w:rsid w:val="00FE59A8"/>
    <w:rsid w:val="00FE66C7"/>
    <w:rsid w:val="00FE6773"/>
    <w:rsid w:val="00FE72F0"/>
    <w:rsid w:val="00FE7CFD"/>
    <w:rsid w:val="00FF0CCF"/>
    <w:rsid w:val="00FF147D"/>
    <w:rsid w:val="00FF1C46"/>
    <w:rsid w:val="00FF1F82"/>
    <w:rsid w:val="00FF1F98"/>
    <w:rsid w:val="00FF254A"/>
    <w:rsid w:val="00FF2977"/>
    <w:rsid w:val="00FF33FE"/>
    <w:rsid w:val="00FF4A1E"/>
    <w:rsid w:val="00FF673E"/>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A5"/>
    <w:pPr>
      <w:widowControl w:val="0"/>
    </w:pPr>
    <w:rPr>
      <w:snapToGrid w:val="0"/>
      <w:kern w:val="28"/>
      <w:sz w:val="22"/>
    </w:rPr>
  </w:style>
  <w:style w:type="paragraph" w:styleId="Heading1">
    <w:name w:val="heading 1"/>
    <w:basedOn w:val="Normal"/>
    <w:next w:val="ParaNum"/>
    <w:link w:val="Heading1Char"/>
    <w:qFormat/>
    <w:rsid w:val="009A5EA5"/>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eading 2 Char1 Char Char,Heading 2 Char Char Char Char,Heading 2 Char1,Heading 2 Char1 Char Char1,Heading 2 Char1 Char Char Char Char1 Char,Heading 2 Char Char Char Char Char Char1 Char,Heading 2 Char1 Char Char1 Char Char"/>
    <w:basedOn w:val="Normal"/>
    <w:next w:val="ParaNum"/>
    <w:link w:val="Heading2Char2"/>
    <w:autoRedefine/>
    <w:qFormat/>
    <w:rsid w:val="009A5EA5"/>
    <w:pPr>
      <w:keepNext/>
      <w:numPr>
        <w:ilvl w:val="1"/>
        <w:numId w:val="5"/>
      </w:numPr>
      <w:spacing w:after="120"/>
      <w:outlineLvl w:val="1"/>
    </w:pPr>
    <w:rPr>
      <w:b/>
    </w:rPr>
  </w:style>
  <w:style w:type="paragraph" w:styleId="Heading3">
    <w:name w:val="heading 3"/>
    <w:basedOn w:val="Normal"/>
    <w:next w:val="ParaNum"/>
    <w:link w:val="Heading3Char"/>
    <w:qFormat/>
    <w:rsid w:val="009A5EA5"/>
    <w:pPr>
      <w:keepNext/>
      <w:numPr>
        <w:ilvl w:val="2"/>
        <w:numId w:val="5"/>
      </w:numPr>
      <w:tabs>
        <w:tab w:val="left" w:pos="2160"/>
      </w:tabs>
      <w:spacing w:after="120"/>
      <w:outlineLvl w:val="2"/>
    </w:pPr>
    <w:rPr>
      <w:b/>
    </w:rPr>
  </w:style>
  <w:style w:type="paragraph" w:styleId="Heading4">
    <w:name w:val="heading 4"/>
    <w:basedOn w:val="Normal"/>
    <w:next w:val="ParaNum"/>
    <w:link w:val="Heading4Char"/>
    <w:qFormat/>
    <w:rsid w:val="009A5EA5"/>
    <w:pPr>
      <w:keepNext/>
      <w:numPr>
        <w:ilvl w:val="3"/>
        <w:numId w:val="5"/>
      </w:numPr>
      <w:tabs>
        <w:tab w:val="left" w:pos="2880"/>
      </w:tabs>
      <w:spacing w:after="120"/>
      <w:outlineLvl w:val="3"/>
    </w:pPr>
    <w:rPr>
      <w:b/>
    </w:rPr>
  </w:style>
  <w:style w:type="paragraph" w:styleId="Heading5">
    <w:name w:val="heading 5"/>
    <w:basedOn w:val="Normal"/>
    <w:next w:val="ParaNum"/>
    <w:link w:val="Heading5Char"/>
    <w:qFormat/>
    <w:rsid w:val="009A5EA5"/>
    <w:pPr>
      <w:keepNext/>
      <w:numPr>
        <w:ilvl w:val="4"/>
        <w:numId w:val="5"/>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9A5EA5"/>
    <w:pPr>
      <w:numPr>
        <w:ilvl w:val="5"/>
        <w:numId w:val="5"/>
      </w:numPr>
      <w:tabs>
        <w:tab w:val="left" w:pos="4320"/>
      </w:tabs>
      <w:spacing w:after="120"/>
      <w:outlineLvl w:val="5"/>
    </w:pPr>
    <w:rPr>
      <w:b/>
    </w:rPr>
  </w:style>
  <w:style w:type="paragraph" w:styleId="Heading7">
    <w:name w:val="heading 7"/>
    <w:basedOn w:val="Normal"/>
    <w:next w:val="ParaNum"/>
    <w:link w:val="Heading7Char"/>
    <w:qFormat/>
    <w:rsid w:val="009A5EA5"/>
    <w:pPr>
      <w:numPr>
        <w:ilvl w:val="6"/>
        <w:numId w:val="5"/>
      </w:numPr>
      <w:tabs>
        <w:tab w:val="left" w:pos="5040"/>
      </w:tabs>
      <w:spacing w:after="120"/>
      <w:ind w:left="5040" w:hanging="720"/>
      <w:outlineLvl w:val="6"/>
    </w:pPr>
    <w:rPr>
      <w:b/>
    </w:rPr>
  </w:style>
  <w:style w:type="paragraph" w:styleId="Heading8">
    <w:name w:val="heading 8"/>
    <w:basedOn w:val="Normal"/>
    <w:next w:val="ParaNum"/>
    <w:link w:val="Heading8Char"/>
    <w:qFormat/>
    <w:rsid w:val="009A5EA5"/>
    <w:pPr>
      <w:numPr>
        <w:ilvl w:val="7"/>
        <w:numId w:val="5"/>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A5EA5"/>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61FF3"/>
    <w:pPr>
      <w:spacing w:before="120" w:after="120"/>
    </w:pPr>
    <w:rPr>
      <w:b/>
    </w:rPr>
  </w:style>
  <w:style w:type="paragraph" w:customStyle="1" w:styleId="ParaNum">
    <w:name w:val="ParaNum"/>
    <w:basedOn w:val="Normal"/>
    <w:link w:val="ParaNumChar1"/>
    <w:rsid w:val="009A5EA5"/>
    <w:pPr>
      <w:numPr>
        <w:numId w:val="4"/>
      </w:numPr>
      <w:tabs>
        <w:tab w:val="clear" w:pos="1080"/>
        <w:tab w:val="num" w:pos="1440"/>
      </w:tabs>
      <w:spacing w:after="120"/>
    </w:pPr>
  </w:style>
  <w:style w:type="paragraph" w:styleId="FootnoteText">
    <w:name w:val="footnote text"/>
    <w:aliases w:val="Footnote Text Char2,Footnote Text Char Char,Footnote Text Char1 Char Char1,Footnote Text Char Char1 Char Char,Footnote Text Char3 Char Char Char Char,Footnote Text Char Char Char1 Char Char Char,rrfootnote,ALTS FOOTNOTE,fn,Footnote Text Ch"/>
    <w:link w:val="FootnoteTextChar"/>
    <w:rsid w:val="009A5EA5"/>
    <w:pPr>
      <w:spacing w:after="120"/>
    </w:pPr>
  </w:style>
  <w:style w:type="paragraph" w:customStyle="1" w:styleId="Bullet">
    <w:name w:val="Bullet"/>
    <w:basedOn w:val="Normal"/>
    <w:rsid w:val="009A5EA5"/>
    <w:pPr>
      <w:tabs>
        <w:tab w:val="left" w:pos="2160"/>
      </w:tabs>
      <w:spacing w:after="220"/>
      <w:ind w:left="2160" w:hanging="720"/>
    </w:pPr>
  </w:style>
  <w:style w:type="paragraph" w:styleId="BlockText">
    <w:name w:val="Block Text"/>
    <w:basedOn w:val="Normal"/>
    <w:rsid w:val="009A5EA5"/>
    <w:pPr>
      <w:spacing w:after="240"/>
      <w:ind w:left="1440" w:right="1440"/>
    </w:pPr>
  </w:style>
  <w:style w:type="paragraph" w:customStyle="1" w:styleId="TableFormat">
    <w:name w:val="TableFormat"/>
    <w:basedOn w:val="Bullet"/>
    <w:rsid w:val="009A5EA5"/>
    <w:pPr>
      <w:tabs>
        <w:tab w:val="clear" w:pos="2160"/>
        <w:tab w:val="left" w:pos="5040"/>
      </w:tabs>
      <w:ind w:left="5040" w:hanging="3600"/>
    </w:pPr>
  </w:style>
  <w:style w:type="character" w:styleId="FootnoteReference">
    <w:name w:val="footnote reference"/>
    <w:aliases w:val="Style 12,(NECG) Footnote Reference,Appel note de bas de p,Style 124,Style 4,Style 13,o,fr,Style 3,FR,Style 17,Footnote Reference/,Style 6"/>
    <w:rsid w:val="009A5EA5"/>
    <w:rPr>
      <w:rFonts w:ascii="Times New Roman" w:hAnsi="Times New Roman"/>
      <w:dstrike w:val="0"/>
      <w:color w:val="auto"/>
      <w:sz w:val="20"/>
      <w:vertAlign w:val="superscript"/>
    </w:rPr>
  </w:style>
  <w:style w:type="paragraph" w:styleId="Header">
    <w:name w:val="header"/>
    <w:basedOn w:val="Normal"/>
    <w:link w:val="HeaderChar"/>
    <w:autoRedefine/>
    <w:rsid w:val="009A5EA5"/>
    <w:pPr>
      <w:tabs>
        <w:tab w:val="center" w:pos="4680"/>
        <w:tab w:val="right" w:pos="9360"/>
      </w:tabs>
    </w:pPr>
    <w:rPr>
      <w:b/>
    </w:rPr>
  </w:style>
  <w:style w:type="paragraph" w:styleId="Footer">
    <w:name w:val="footer"/>
    <w:basedOn w:val="Normal"/>
    <w:link w:val="FooterChar"/>
    <w:rsid w:val="009A5EA5"/>
    <w:pPr>
      <w:tabs>
        <w:tab w:val="center" w:pos="4320"/>
        <w:tab w:val="right" w:pos="8640"/>
      </w:tabs>
    </w:pPr>
  </w:style>
  <w:style w:type="paragraph" w:styleId="TOC2">
    <w:name w:val="toc 2"/>
    <w:basedOn w:val="Normal"/>
    <w:next w:val="Normal"/>
    <w:rsid w:val="009A5EA5"/>
    <w:pPr>
      <w:tabs>
        <w:tab w:val="left" w:pos="720"/>
        <w:tab w:val="right" w:leader="dot" w:pos="9360"/>
      </w:tabs>
      <w:suppressAutoHyphens/>
      <w:ind w:left="720" w:right="720" w:hanging="360"/>
    </w:pPr>
    <w:rPr>
      <w:noProof/>
    </w:rPr>
  </w:style>
  <w:style w:type="paragraph" w:customStyle="1" w:styleId="NumberedList">
    <w:name w:val="Numbered List"/>
    <w:basedOn w:val="Normal"/>
    <w:rsid w:val="00561FF3"/>
    <w:pPr>
      <w:numPr>
        <w:numId w:val="1"/>
      </w:numPr>
      <w:tabs>
        <w:tab w:val="clear" w:pos="1080"/>
      </w:tabs>
      <w:spacing w:after="220"/>
      <w:ind w:firstLine="0"/>
    </w:pPr>
  </w:style>
  <w:style w:type="paragraph" w:styleId="TOC1">
    <w:name w:val="toc 1"/>
    <w:basedOn w:val="Normal"/>
    <w:next w:val="Normal"/>
    <w:rsid w:val="009A5EA5"/>
    <w:pPr>
      <w:tabs>
        <w:tab w:val="left" w:pos="360"/>
        <w:tab w:val="right" w:leader="dot" w:pos="9360"/>
      </w:tabs>
      <w:suppressAutoHyphens/>
      <w:ind w:left="360" w:right="720" w:hanging="360"/>
    </w:pPr>
    <w:rPr>
      <w:caps/>
      <w:noProof/>
    </w:rPr>
  </w:style>
  <w:style w:type="paragraph" w:styleId="TOC3">
    <w:name w:val="toc 3"/>
    <w:basedOn w:val="Normal"/>
    <w:next w:val="Normal"/>
    <w:rsid w:val="009A5EA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A5EA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A5EA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A5EA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A5EA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A5EA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A5EA5"/>
    <w:pPr>
      <w:tabs>
        <w:tab w:val="left" w:pos="3240"/>
        <w:tab w:val="right" w:leader="dot" w:pos="9360"/>
      </w:tabs>
      <w:suppressAutoHyphens/>
      <w:ind w:left="3240" w:hanging="360"/>
    </w:pPr>
    <w:rPr>
      <w:noProof/>
    </w:rPr>
  </w:style>
  <w:style w:type="character" w:styleId="PageNumber">
    <w:name w:val="page number"/>
    <w:basedOn w:val="DefaultParagraphFont"/>
    <w:rsid w:val="009A5EA5"/>
  </w:style>
  <w:style w:type="paragraph" w:styleId="Title">
    <w:name w:val="Title"/>
    <w:basedOn w:val="Normal"/>
    <w:link w:val="TitleChar"/>
    <w:qFormat/>
    <w:rsid w:val="00561FF3"/>
    <w:pPr>
      <w:jc w:val="center"/>
    </w:pPr>
    <w:rPr>
      <w:b/>
    </w:rPr>
  </w:style>
  <w:style w:type="paragraph" w:customStyle="1" w:styleId="StyleBoldCentered">
    <w:name w:val="Style Bold Centered"/>
    <w:basedOn w:val="Normal"/>
    <w:rsid w:val="009A5EA5"/>
    <w:pPr>
      <w:jc w:val="center"/>
    </w:pPr>
    <w:rPr>
      <w:rFonts w:ascii="Times New Roman Bold" w:hAnsi="Times New Roman Bold"/>
      <w:b/>
      <w:bCs/>
      <w:caps/>
      <w:szCs w:val="22"/>
    </w:rPr>
  </w:style>
  <w:style w:type="paragraph" w:styleId="EndnoteText">
    <w:name w:val="endnote text"/>
    <w:basedOn w:val="Normal"/>
    <w:link w:val="EndnoteTextChar"/>
    <w:semiHidden/>
    <w:rsid w:val="009A5EA5"/>
    <w:rPr>
      <w:sz w:val="20"/>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fn Char"/>
    <w:link w:val="FootnoteText"/>
    <w:rsid w:val="004777BD"/>
  </w:style>
  <w:style w:type="character" w:customStyle="1" w:styleId="ParaNumChar1">
    <w:name w:val="ParaNum Char1"/>
    <w:link w:val="ParaNum"/>
    <w:locked/>
    <w:rsid w:val="004777BD"/>
    <w:rPr>
      <w:snapToGrid w:val="0"/>
      <w:kern w:val="28"/>
      <w:sz w:val="22"/>
    </w:rPr>
  </w:style>
  <w:style w:type="numbering" w:customStyle="1" w:styleId="Style1">
    <w:name w:val="Style1"/>
    <w:uiPriority w:val="99"/>
    <w:rsid w:val="004777BD"/>
    <w:pPr>
      <w:numPr>
        <w:numId w:val="2"/>
      </w:numPr>
    </w:pPr>
  </w:style>
  <w:style w:type="character" w:styleId="Hyperlink">
    <w:name w:val="Hyperlink"/>
    <w:rsid w:val="009A5EA5"/>
    <w:rPr>
      <w:color w:val="0000FF"/>
      <w:u w:val="single"/>
    </w:rPr>
  </w:style>
  <w:style w:type="paragraph" w:customStyle="1" w:styleId="Paranum0">
    <w:name w:val="Paranum"/>
    <w:rsid w:val="00863A53"/>
    <w:pPr>
      <w:numPr>
        <w:numId w:val="3"/>
      </w:numPr>
      <w:tabs>
        <w:tab w:val="left" w:pos="1440"/>
      </w:tabs>
      <w:spacing w:after="240"/>
      <w:jc w:val="both"/>
    </w:pPr>
    <w:rPr>
      <w:sz w:val="22"/>
    </w:rPr>
  </w:style>
  <w:style w:type="character" w:customStyle="1" w:styleId="ParaNumChar">
    <w:name w:val="ParaNum Char"/>
    <w:locked/>
    <w:rsid w:val="00344968"/>
    <w:rPr>
      <w:kern w:val="28"/>
      <w:sz w:val="22"/>
    </w:rPr>
  </w:style>
  <w:style w:type="paragraph" w:styleId="NormalWeb">
    <w:name w:val="Normal (Web)"/>
    <w:basedOn w:val="Normal"/>
    <w:rsid w:val="007764D3"/>
    <w:rPr>
      <w:sz w:val="24"/>
      <w:szCs w:val="24"/>
    </w:rPr>
  </w:style>
  <w:style w:type="character" w:styleId="Emphasis">
    <w:name w:val="Emphasis"/>
    <w:qFormat/>
    <w:rsid w:val="007764D3"/>
    <w:rPr>
      <w:i/>
      <w:iCs/>
    </w:rPr>
  </w:style>
  <w:style w:type="paragraph" w:styleId="BalloonText">
    <w:name w:val="Balloon Text"/>
    <w:basedOn w:val="Normal"/>
    <w:link w:val="BalloonTextChar"/>
    <w:rsid w:val="00816893"/>
    <w:rPr>
      <w:rFonts w:ascii="Tahoma" w:hAnsi="Tahoma"/>
      <w:sz w:val="16"/>
      <w:szCs w:val="16"/>
    </w:rPr>
  </w:style>
  <w:style w:type="character" w:customStyle="1" w:styleId="BalloonTextChar">
    <w:name w:val="Balloon Text Char"/>
    <w:link w:val="BalloonText"/>
    <w:rsid w:val="00816893"/>
    <w:rPr>
      <w:rFonts w:ascii="Tahoma" w:hAnsi="Tahoma" w:cs="Tahoma"/>
      <w:sz w:val="16"/>
      <w:szCs w:val="16"/>
    </w:rPr>
  </w:style>
  <w:style w:type="character" w:styleId="CommentReference">
    <w:name w:val="annotation reference"/>
    <w:uiPriority w:val="99"/>
    <w:rsid w:val="004849EA"/>
    <w:rPr>
      <w:sz w:val="16"/>
      <w:szCs w:val="16"/>
    </w:rPr>
  </w:style>
  <w:style w:type="paragraph" w:styleId="CommentText">
    <w:name w:val="annotation text"/>
    <w:basedOn w:val="Normal"/>
    <w:link w:val="CommentTextChar"/>
    <w:uiPriority w:val="99"/>
    <w:rsid w:val="004849EA"/>
    <w:rPr>
      <w:sz w:val="20"/>
    </w:rPr>
  </w:style>
  <w:style w:type="character" w:customStyle="1" w:styleId="CommentTextChar">
    <w:name w:val="Comment Text Char"/>
    <w:basedOn w:val="DefaultParagraphFont"/>
    <w:link w:val="CommentText"/>
    <w:uiPriority w:val="99"/>
    <w:rsid w:val="004849EA"/>
  </w:style>
  <w:style w:type="paragraph" w:styleId="CommentSubject">
    <w:name w:val="annotation subject"/>
    <w:basedOn w:val="CommentText"/>
    <w:next w:val="CommentText"/>
    <w:link w:val="CommentSubjectChar"/>
    <w:rsid w:val="004849EA"/>
    <w:rPr>
      <w:b/>
      <w:bCs/>
    </w:rPr>
  </w:style>
  <w:style w:type="character" w:customStyle="1" w:styleId="CommentSubjectChar">
    <w:name w:val="Comment Subject Char"/>
    <w:link w:val="CommentSubject"/>
    <w:rsid w:val="004849EA"/>
    <w:rPr>
      <w:b/>
      <w:bCs/>
    </w:rPr>
  </w:style>
  <w:style w:type="paragraph" w:customStyle="1" w:styleId="ColorfulShading-Accent11">
    <w:name w:val="Colorful Shading - Accent 11"/>
    <w:hidden/>
    <w:uiPriority w:val="99"/>
    <w:semiHidden/>
    <w:rsid w:val="004849EA"/>
    <w:rPr>
      <w:sz w:val="22"/>
    </w:rPr>
  </w:style>
  <w:style w:type="paragraph" w:customStyle="1" w:styleId="1">
    <w:name w:val="1"/>
    <w:basedOn w:val="Heading1"/>
    <w:next w:val="Normal"/>
    <w:uiPriority w:val="39"/>
    <w:unhideWhenUsed/>
    <w:qFormat/>
    <w:rsid w:val="00CC56FF"/>
    <w:pPr>
      <w:keepLines/>
      <w:widowControl/>
      <w:numPr>
        <w:numId w:val="0"/>
      </w:numPr>
      <w:tabs>
        <w:tab w:val="left" w:pos="720"/>
      </w:tabs>
      <w:suppressAutoHyphens w:val="0"/>
      <w:spacing w:before="480" w:after="0" w:line="276" w:lineRule="auto"/>
      <w:outlineLvl w:val="9"/>
    </w:pPr>
    <w:rPr>
      <w:rFonts w:ascii="Cambria" w:hAnsi="Cambria"/>
      <w:bCs/>
      <w:caps w:val="0"/>
      <w:color w:val="365F91"/>
      <w:sz w:val="28"/>
      <w:szCs w:val="28"/>
    </w:rPr>
  </w:style>
  <w:style w:type="character" w:customStyle="1" w:styleId="documentbody1">
    <w:name w:val="documentbody1"/>
    <w:rsid w:val="00FA04DD"/>
    <w:rPr>
      <w:rFonts w:ascii="Verdana" w:hAnsi="Verdana" w:cs="Times New Roman"/>
      <w:sz w:val="19"/>
      <w:szCs w:val="19"/>
    </w:rPr>
  </w:style>
  <w:style w:type="character" w:customStyle="1" w:styleId="Footnote">
    <w:name w:val="Footnote"/>
    <w:rsid w:val="00AF7FCC"/>
  </w:style>
  <w:style w:type="character" w:customStyle="1" w:styleId="FootnoteTextChar4">
    <w:name w:val="Footnote Text Char4"/>
    <w:aliases w:val="Footnote Text Char2 Char3,Footnote Text Char Char4 Char3,Footnote Text Char2 Char Char Char3,Footnote Text Char1 Char1 Char Char Char4,Footnote Text Char Char Char Char Char Char4,Footnote Text Char1 Char Char Char Char Char Char1"/>
    <w:rsid w:val="00AF7FCC"/>
    <w:rPr>
      <w:rFonts w:cs="Times New Roman"/>
      <w:lang w:val="en-US" w:eastAsia="en-US" w:bidi="ar-SA"/>
    </w:rPr>
  </w:style>
  <w:style w:type="character" w:customStyle="1" w:styleId="Unnamed1">
    <w:name w:val="Unnamed 1"/>
    <w:rsid w:val="00CB7520"/>
    <w:rPr>
      <w:rFonts w:ascii="Courier New" w:hAnsi="Courier New" w:cs="Courier New"/>
      <w:sz w:val="24"/>
      <w:lang w:val="en-US"/>
    </w:rPr>
  </w:style>
  <w:style w:type="character" w:customStyle="1" w:styleId="footnote0">
    <w:name w:val="footnote"/>
    <w:rsid w:val="00CB7520"/>
    <w:rPr>
      <w:rFonts w:cs="Times New Roman"/>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
    <w:rsid w:val="00CB7520"/>
    <w:rPr>
      <w:rFonts w:cs="Times New Roman"/>
      <w:lang w:val="en-US" w:eastAsia="en-US" w:bidi="ar-SA"/>
    </w:rPr>
  </w:style>
  <w:style w:type="character" w:customStyle="1" w:styleId="Heading2CharChar2">
    <w:name w:val="Heading 2 Char Char2"/>
    <w:rsid w:val="00CB7520"/>
    <w:rPr>
      <w:rFonts w:cs="Times New Roman"/>
      <w:b/>
      <w:snapToGrid w:val="0"/>
      <w:kern w:val="28"/>
      <w:sz w:val="24"/>
      <w:lang w:val="en-US" w:eastAsia="en-US" w:bidi="ar-SA"/>
    </w:rPr>
  </w:style>
  <w:style w:type="character" w:customStyle="1" w:styleId="StyleFootnoteReferenceStyle13Style12NECGFootnoteReferenc">
    <w:name w:val="Style Footnote ReferenceStyle 13Style 12(NECG) Footnote Referenc..."/>
    <w:rsid w:val="00CB7520"/>
    <w:rPr>
      <w:rFonts w:ascii="Times New Roman" w:hAnsi="Times New Roman"/>
      <w:dstrike w:val="0"/>
      <w:color w:val="auto"/>
      <w:sz w:val="20"/>
      <w:vertAlign w:val="superscript"/>
    </w:rPr>
  </w:style>
  <w:style w:type="character" w:customStyle="1" w:styleId="StyleFootnoteReferenceStyle13Style12NECGFootnoteReferenc1">
    <w:name w:val="Style Footnote ReferenceStyle 13Style 12(NECG) Footnote Referenc...1"/>
    <w:rsid w:val="00CB7520"/>
    <w:rPr>
      <w:rFonts w:ascii="Times New Roman" w:hAnsi="Times New Roman"/>
      <w:dstrike w:val="0"/>
      <w:color w:val="auto"/>
      <w:sz w:val="20"/>
      <w:vertAlign w:val="superscript"/>
    </w:rPr>
  </w:style>
  <w:style w:type="character" w:customStyle="1" w:styleId="FooterChar">
    <w:name w:val="Footer Char"/>
    <w:link w:val="Footer"/>
    <w:rsid w:val="002C1DE0"/>
    <w:rPr>
      <w:snapToGrid w:val="0"/>
      <w:kern w:val="28"/>
      <w:sz w:val="22"/>
    </w:rPr>
  </w:style>
  <w:style w:type="paragraph" w:customStyle="1" w:styleId="TOCHeading1">
    <w:name w:val="TOC Heading1"/>
    <w:basedOn w:val="Heading1"/>
    <w:next w:val="Normal"/>
    <w:uiPriority w:val="39"/>
    <w:qFormat/>
    <w:rsid w:val="00CC56FF"/>
    <w:pPr>
      <w:keepLines/>
      <w:widowControl/>
      <w:numPr>
        <w:numId w:val="0"/>
      </w:numPr>
      <w:tabs>
        <w:tab w:val="left" w:pos="720"/>
      </w:tabs>
      <w:suppressAutoHyphens w:val="0"/>
      <w:spacing w:before="480" w:after="0" w:line="276" w:lineRule="auto"/>
      <w:outlineLvl w:val="9"/>
    </w:pPr>
    <w:rPr>
      <w:rFonts w:ascii="Cambria" w:eastAsia="MS Gothic" w:hAnsi="Cambria"/>
      <w:bCs/>
      <w:caps w:val="0"/>
      <w:color w:val="365F91"/>
      <w:sz w:val="28"/>
      <w:szCs w:val="28"/>
      <w:lang w:eastAsia="ja-JP"/>
    </w:rPr>
  </w:style>
  <w:style w:type="paragraph" w:styleId="Revision">
    <w:name w:val="Revision"/>
    <w:hidden/>
    <w:uiPriority w:val="99"/>
    <w:semiHidden/>
    <w:rsid w:val="00524431"/>
    <w:rPr>
      <w:sz w:val="22"/>
    </w:rPr>
  </w:style>
  <w:style w:type="character" w:customStyle="1" w:styleId="SC465550">
    <w:name w:val="SC.4.65550"/>
    <w:uiPriority w:val="99"/>
    <w:rsid w:val="00B358A1"/>
    <w:rPr>
      <w:rFonts w:ascii="OMDAA K+ Century" w:hAnsi="OMDAA K+ Century" w:cs="OMDAA K+ Century" w:hint="default"/>
      <w:color w:val="000000"/>
      <w:sz w:val="20"/>
      <w:szCs w:val="20"/>
    </w:rPr>
  </w:style>
  <w:style w:type="character" w:customStyle="1" w:styleId="HeaderChar">
    <w:name w:val="Header Char"/>
    <w:basedOn w:val="DefaultParagraphFont"/>
    <w:link w:val="Header"/>
    <w:rsid w:val="00DD2A3A"/>
    <w:rPr>
      <w:b/>
      <w:snapToGrid w:val="0"/>
      <w:kern w:val="28"/>
      <w:sz w:val="22"/>
    </w:rPr>
  </w:style>
  <w:style w:type="character" w:styleId="FollowedHyperlink">
    <w:name w:val="FollowedHyperlink"/>
    <w:basedOn w:val="DefaultParagraphFont"/>
    <w:rsid w:val="0036742D"/>
    <w:rPr>
      <w:color w:val="800080" w:themeColor="followedHyperlink"/>
      <w:u w:val="single"/>
    </w:rPr>
  </w:style>
  <w:style w:type="character" w:customStyle="1" w:styleId="Heading1Char">
    <w:name w:val="Heading 1 Char"/>
    <w:basedOn w:val="DefaultParagraphFont"/>
    <w:link w:val="Heading1"/>
    <w:rsid w:val="009549AB"/>
    <w:rPr>
      <w:rFonts w:ascii="Times New Roman Bold" w:hAnsi="Times New Roman Bold"/>
      <w:b/>
      <w:caps/>
      <w:snapToGrid w:val="0"/>
      <w:kern w:val="28"/>
      <w:sz w:val="22"/>
    </w:rPr>
  </w:style>
  <w:style w:type="character" w:customStyle="1" w:styleId="Heading2Char2">
    <w:name w:val="Heading 2 Char2"/>
    <w:aliases w:val="Heading 2 Char Char,Heading 2 Char1 Char Char Char,Heading 2 Char Char Char Char Char,Heading 2 Char1 Char,Heading 2 Char1 Char Char1 Char,Heading 2 Char1 Char Char Char Char1 Char Char,Heading 2 Char Char Char Char Char Char1 Char Char"/>
    <w:basedOn w:val="DefaultParagraphFont"/>
    <w:link w:val="Heading2"/>
    <w:rsid w:val="00021D5D"/>
    <w:rPr>
      <w:b/>
      <w:snapToGrid w:val="0"/>
      <w:kern w:val="28"/>
      <w:sz w:val="22"/>
    </w:rPr>
  </w:style>
  <w:style w:type="character" w:customStyle="1" w:styleId="Heading3Char">
    <w:name w:val="Heading 3 Char"/>
    <w:basedOn w:val="DefaultParagraphFont"/>
    <w:link w:val="Heading3"/>
    <w:rsid w:val="009549AB"/>
    <w:rPr>
      <w:b/>
      <w:snapToGrid w:val="0"/>
      <w:kern w:val="28"/>
      <w:sz w:val="22"/>
    </w:rPr>
  </w:style>
  <w:style w:type="character" w:customStyle="1" w:styleId="Heading4Char">
    <w:name w:val="Heading 4 Char"/>
    <w:basedOn w:val="DefaultParagraphFont"/>
    <w:link w:val="Heading4"/>
    <w:rsid w:val="009549AB"/>
    <w:rPr>
      <w:b/>
      <w:snapToGrid w:val="0"/>
      <w:kern w:val="28"/>
      <w:sz w:val="22"/>
    </w:rPr>
  </w:style>
  <w:style w:type="character" w:customStyle="1" w:styleId="Heading5Char">
    <w:name w:val="Heading 5 Char"/>
    <w:basedOn w:val="DefaultParagraphFont"/>
    <w:link w:val="Heading5"/>
    <w:rsid w:val="009549AB"/>
    <w:rPr>
      <w:b/>
      <w:snapToGrid w:val="0"/>
      <w:kern w:val="28"/>
      <w:sz w:val="22"/>
    </w:rPr>
  </w:style>
  <w:style w:type="character" w:customStyle="1" w:styleId="Heading6Char">
    <w:name w:val="Heading 6 Char"/>
    <w:aliases w:val="h6 Char"/>
    <w:basedOn w:val="DefaultParagraphFont"/>
    <w:link w:val="Heading6"/>
    <w:rsid w:val="009549AB"/>
    <w:rPr>
      <w:b/>
      <w:snapToGrid w:val="0"/>
      <w:kern w:val="28"/>
      <w:sz w:val="22"/>
    </w:rPr>
  </w:style>
  <w:style w:type="character" w:customStyle="1" w:styleId="Heading7Char">
    <w:name w:val="Heading 7 Char"/>
    <w:basedOn w:val="DefaultParagraphFont"/>
    <w:link w:val="Heading7"/>
    <w:rsid w:val="009549AB"/>
    <w:rPr>
      <w:b/>
      <w:snapToGrid w:val="0"/>
      <w:kern w:val="28"/>
      <w:sz w:val="22"/>
    </w:rPr>
  </w:style>
  <w:style w:type="character" w:customStyle="1" w:styleId="Heading8Char">
    <w:name w:val="Heading 8 Char"/>
    <w:basedOn w:val="DefaultParagraphFont"/>
    <w:link w:val="Heading8"/>
    <w:rsid w:val="009549AB"/>
    <w:rPr>
      <w:b/>
      <w:snapToGrid w:val="0"/>
      <w:kern w:val="28"/>
      <w:sz w:val="22"/>
    </w:rPr>
  </w:style>
  <w:style w:type="character" w:customStyle="1" w:styleId="Heading9Char">
    <w:name w:val="Heading 9 Char"/>
    <w:basedOn w:val="DefaultParagraphFont"/>
    <w:link w:val="Heading9"/>
    <w:rsid w:val="009549AB"/>
    <w:rPr>
      <w:b/>
      <w:snapToGrid w:val="0"/>
      <w:kern w:val="28"/>
      <w:sz w:val="22"/>
    </w:rPr>
  </w:style>
  <w:style w:type="character" w:customStyle="1" w:styleId="TitleChar">
    <w:name w:val="Title Char"/>
    <w:basedOn w:val="DefaultParagraphFont"/>
    <w:link w:val="Title"/>
    <w:rsid w:val="009549AB"/>
    <w:rPr>
      <w:b/>
      <w:sz w:val="22"/>
    </w:rPr>
  </w:style>
  <w:style w:type="character" w:customStyle="1" w:styleId="EndnoteTextChar">
    <w:name w:val="Endnote Text Char"/>
    <w:basedOn w:val="DefaultParagraphFont"/>
    <w:link w:val="EndnoteText"/>
    <w:semiHidden/>
    <w:rsid w:val="009549AB"/>
    <w:rPr>
      <w:snapToGrid w:val="0"/>
      <w:kern w:val="28"/>
    </w:rPr>
  </w:style>
  <w:style w:type="paragraph" w:styleId="TOCHeading">
    <w:name w:val="TOC Heading"/>
    <w:basedOn w:val="Heading1"/>
    <w:next w:val="Normal"/>
    <w:uiPriority w:val="39"/>
    <w:unhideWhenUsed/>
    <w:qFormat/>
    <w:rsid w:val="00B17FE2"/>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styleId="EndnoteReference">
    <w:name w:val="endnote reference"/>
    <w:rsid w:val="009A5EA5"/>
    <w:rPr>
      <w:vertAlign w:val="superscript"/>
    </w:rPr>
  </w:style>
  <w:style w:type="paragraph" w:styleId="TOAHeading">
    <w:name w:val="toa heading"/>
    <w:basedOn w:val="Normal"/>
    <w:next w:val="Normal"/>
    <w:rsid w:val="009A5EA5"/>
    <w:pPr>
      <w:tabs>
        <w:tab w:val="right" w:pos="9360"/>
      </w:tabs>
      <w:suppressAutoHyphens/>
    </w:pPr>
  </w:style>
  <w:style w:type="character" w:customStyle="1" w:styleId="EquationCaption">
    <w:name w:val="_Equation Caption"/>
    <w:rsid w:val="009A5EA5"/>
  </w:style>
  <w:style w:type="paragraph" w:customStyle="1" w:styleId="Paratitle">
    <w:name w:val="Para title"/>
    <w:basedOn w:val="Normal"/>
    <w:rsid w:val="009A5EA5"/>
    <w:pPr>
      <w:tabs>
        <w:tab w:val="center" w:pos="9270"/>
      </w:tabs>
      <w:spacing w:after="240"/>
    </w:pPr>
    <w:rPr>
      <w:spacing w:val="-2"/>
    </w:rPr>
  </w:style>
  <w:style w:type="paragraph" w:customStyle="1" w:styleId="TOCTitle">
    <w:name w:val="TOC Title"/>
    <w:basedOn w:val="Normal"/>
    <w:rsid w:val="009A5EA5"/>
    <w:pPr>
      <w:spacing w:before="240" w:after="240"/>
      <w:jc w:val="center"/>
    </w:pPr>
    <w:rPr>
      <w:rFonts w:ascii="Times New Roman Bold" w:hAnsi="Times New Roman Bold"/>
      <w:b/>
      <w:caps/>
      <w:spacing w:val="-2"/>
    </w:rPr>
  </w:style>
  <w:style w:type="paragraph" w:styleId="ListParagraph">
    <w:name w:val="List Paragraph"/>
    <w:basedOn w:val="Normal"/>
    <w:uiPriority w:val="34"/>
    <w:qFormat/>
    <w:rsid w:val="001B1B0F"/>
    <w:pPr>
      <w:ind w:left="720"/>
      <w:contextualSpacing/>
    </w:pPr>
  </w:style>
  <w:style w:type="table" w:styleId="TableGrid">
    <w:name w:val="Table Grid"/>
    <w:basedOn w:val="TableNormal"/>
    <w:uiPriority w:val="59"/>
    <w:rsid w:val="002A2B9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E7210"/>
    <w:pPr>
      <w:snapToGrid w:val="0"/>
      <w:spacing w:after="120"/>
    </w:pPr>
    <w:rPr>
      <w:snapToGrid/>
      <w:sz w:val="24"/>
    </w:rPr>
  </w:style>
  <w:style w:type="character" w:customStyle="1" w:styleId="BodyTextChar">
    <w:name w:val="Body Text Char"/>
    <w:basedOn w:val="DefaultParagraphFont"/>
    <w:link w:val="BodyText"/>
    <w:rsid w:val="008E7210"/>
    <w:rPr>
      <w:kern w:val="28"/>
      <w:sz w:val="24"/>
    </w:rPr>
  </w:style>
  <w:style w:type="paragraph" w:styleId="PlainText">
    <w:name w:val="Plain Text"/>
    <w:basedOn w:val="Normal"/>
    <w:link w:val="PlainTextChar"/>
    <w:uiPriority w:val="99"/>
    <w:unhideWhenUsed/>
    <w:rsid w:val="009D36F0"/>
    <w:pPr>
      <w:widowControl/>
    </w:pPr>
    <w:rPr>
      <w:rFonts w:ascii="Calibri" w:eastAsiaTheme="minorHAnsi" w:hAnsi="Calibri" w:cstheme="minorBidi"/>
      <w:snapToGrid/>
      <w:kern w:val="0"/>
      <w:szCs w:val="21"/>
    </w:rPr>
  </w:style>
  <w:style w:type="character" w:customStyle="1" w:styleId="PlainTextChar">
    <w:name w:val="Plain Text Char"/>
    <w:basedOn w:val="DefaultParagraphFont"/>
    <w:link w:val="PlainText"/>
    <w:uiPriority w:val="99"/>
    <w:rsid w:val="009D36F0"/>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A5"/>
    <w:pPr>
      <w:widowControl w:val="0"/>
    </w:pPr>
    <w:rPr>
      <w:snapToGrid w:val="0"/>
      <w:kern w:val="28"/>
      <w:sz w:val="22"/>
    </w:rPr>
  </w:style>
  <w:style w:type="paragraph" w:styleId="Heading1">
    <w:name w:val="heading 1"/>
    <w:basedOn w:val="Normal"/>
    <w:next w:val="ParaNum"/>
    <w:link w:val="Heading1Char"/>
    <w:qFormat/>
    <w:rsid w:val="009A5EA5"/>
    <w:pPr>
      <w:keepNext/>
      <w:numPr>
        <w:numId w:val="5"/>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eading 2 Char1 Char Char,Heading 2 Char Char Char Char,Heading 2 Char1,Heading 2 Char1 Char Char1,Heading 2 Char1 Char Char Char Char1 Char,Heading 2 Char Char Char Char Char Char1 Char,Heading 2 Char1 Char Char1 Char Char"/>
    <w:basedOn w:val="Normal"/>
    <w:next w:val="ParaNum"/>
    <w:link w:val="Heading2Char2"/>
    <w:autoRedefine/>
    <w:qFormat/>
    <w:rsid w:val="009A5EA5"/>
    <w:pPr>
      <w:keepNext/>
      <w:numPr>
        <w:ilvl w:val="1"/>
        <w:numId w:val="5"/>
      </w:numPr>
      <w:spacing w:after="120"/>
      <w:outlineLvl w:val="1"/>
    </w:pPr>
    <w:rPr>
      <w:b/>
    </w:rPr>
  </w:style>
  <w:style w:type="paragraph" w:styleId="Heading3">
    <w:name w:val="heading 3"/>
    <w:basedOn w:val="Normal"/>
    <w:next w:val="ParaNum"/>
    <w:link w:val="Heading3Char"/>
    <w:qFormat/>
    <w:rsid w:val="009A5EA5"/>
    <w:pPr>
      <w:keepNext/>
      <w:numPr>
        <w:ilvl w:val="2"/>
        <w:numId w:val="5"/>
      </w:numPr>
      <w:tabs>
        <w:tab w:val="left" w:pos="2160"/>
      </w:tabs>
      <w:spacing w:after="120"/>
      <w:outlineLvl w:val="2"/>
    </w:pPr>
    <w:rPr>
      <w:b/>
    </w:rPr>
  </w:style>
  <w:style w:type="paragraph" w:styleId="Heading4">
    <w:name w:val="heading 4"/>
    <w:basedOn w:val="Normal"/>
    <w:next w:val="ParaNum"/>
    <w:link w:val="Heading4Char"/>
    <w:qFormat/>
    <w:rsid w:val="009A5EA5"/>
    <w:pPr>
      <w:keepNext/>
      <w:numPr>
        <w:ilvl w:val="3"/>
        <w:numId w:val="5"/>
      </w:numPr>
      <w:tabs>
        <w:tab w:val="left" w:pos="2880"/>
      </w:tabs>
      <w:spacing w:after="120"/>
      <w:outlineLvl w:val="3"/>
    </w:pPr>
    <w:rPr>
      <w:b/>
    </w:rPr>
  </w:style>
  <w:style w:type="paragraph" w:styleId="Heading5">
    <w:name w:val="heading 5"/>
    <w:basedOn w:val="Normal"/>
    <w:next w:val="ParaNum"/>
    <w:link w:val="Heading5Char"/>
    <w:qFormat/>
    <w:rsid w:val="009A5EA5"/>
    <w:pPr>
      <w:keepNext/>
      <w:numPr>
        <w:ilvl w:val="4"/>
        <w:numId w:val="5"/>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9A5EA5"/>
    <w:pPr>
      <w:numPr>
        <w:ilvl w:val="5"/>
        <w:numId w:val="5"/>
      </w:numPr>
      <w:tabs>
        <w:tab w:val="left" w:pos="4320"/>
      </w:tabs>
      <w:spacing w:after="120"/>
      <w:outlineLvl w:val="5"/>
    </w:pPr>
    <w:rPr>
      <w:b/>
    </w:rPr>
  </w:style>
  <w:style w:type="paragraph" w:styleId="Heading7">
    <w:name w:val="heading 7"/>
    <w:basedOn w:val="Normal"/>
    <w:next w:val="ParaNum"/>
    <w:link w:val="Heading7Char"/>
    <w:qFormat/>
    <w:rsid w:val="009A5EA5"/>
    <w:pPr>
      <w:numPr>
        <w:ilvl w:val="6"/>
        <w:numId w:val="5"/>
      </w:numPr>
      <w:tabs>
        <w:tab w:val="left" w:pos="5040"/>
      </w:tabs>
      <w:spacing w:after="120"/>
      <w:ind w:left="5040" w:hanging="720"/>
      <w:outlineLvl w:val="6"/>
    </w:pPr>
    <w:rPr>
      <w:b/>
    </w:rPr>
  </w:style>
  <w:style w:type="paragraph" w:styleId="Heading8">
    <w:name w:val="heading 8"/>
    <w:basedOn w:val="Normal"/>
    <w:next w:val="ParaNum"/>
    <w:link w:val="Heading8Char"/>
    <w:qFormat/>
    <w:rsid w:val="009A5EA5"/>
    <w:pPr>
      <w:numPr>
        <w:ilvl w:val="7"/>
        <w:numId w:val="5"/>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A5EA5"/>
    <w:pPr>
      <w:numPr>
        <w:ilvl w:val="8"/>
        <w:numId w:val="5"/>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A5E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EA5"/>
  </w:style>
  <w:style w:type="paragraph" w:styleId="Caption">
    <w:name w:val="caption"/>
    <w:basedOn w:val="Normal"/>
    <w:next w:val="Normal"/>
    <w:qFormat/>
    <w:rsid w:val="00561FF3"/>
    <w:pPr>
      <w:spacing w:before="120" w:after="120"/>
    </w:pPr>
    <w:rPr>
      <w:b/>
    </w:rPr>
  </w:style>
  <w:style w:type="paragraph" w:customStyle="1" w:styleId="ParaNum">
    <w:name w:val="ParaNum"/>
    <w:basedOn w:val="Normal"/>
    <w:link w:val="ParaNumChar1"/>
    <w:rsid w:val="009A5EA5"/>
    <w:pPr>
      <w:numPr>
        <w:numId w:val="4"/>
      </w:numPr>
      <w:tabs>
        <w:tab w:val="clear" w:pos="1080"/>
        <w:tab w:val="num" w:pos="1440"/>
      </w:tabs>
      <w:spacing w:after="120"/>
    </w:pPr>
  </w:style>
  <w:style w:type="paragraph" w:styleId="FootnoteText">
    <w:name w:val="footnote text"/>
    <w:aliases w:val="Footnote Text Char2,Footnote Text Char Char,Footnote Text Char1 Char Char1,Footnote Text Char Char1 Char Char,Footnote Text Char3 Char Char Char Char,Footnote Text Char Char Char1 Char Char Char,rrfootnote,ALTS FOOTNOTE,fn,Footnote Text Ch"/>
    <w:link w:val="FootnoteTextChar"/>
    <w:rsid w:val="009A5EA5"/>
    <w:pPr>
      <w:spacing w:after="120"/>
    </w:pPr>
  </w:style>
  <w:style w:type="paragraph" w:customStyle="1" w:styleId="Bullet">
    <w:name w:val="Bullet"/>
    <w:basedOn w:val="Normal"/>
    <w:rsid w:val="009A5EA5"/>
    <w:pPr>
      <w:tabs>
        <w:tab w:val="left" w:pos="2160"/>
      </w:tabs>
      <w:spacing w:after="220"/>
      <w:ind w:left="2160" w:hanging="720"/>
    </w:pPr>
  </w:style>
  <w:style w:type="paragraph" w:styleId="BlockText">
    <w:name w:val="Block Text"/>
    <w:basedOn w:val="Normal"/>
    <w:rsid w:val="009A5EA5"/>
    <w:pPr>
      <w:spacing w:after="240"/>
      <w:ind w:left="1440" w:right="1440"/>
    </w:pPr>
  </w:style>
  <w:style w:type="paragraph" w:customStyle="1" w:styleId="TableFormat">
    <w:name w:val="TableFormat"/>
    <w:basedOn w:val="Bullet"/>
    <w:rsid w:val="009A5EA5"/>
    <w:pPr>
      <w:tabs>
        <w:tab w:val="clear" w:pos="2160"/>
        <w:tab w:val="left" w:pos="5040"/>
      </w:tabs>
      <w:ind w:left="5040" w:hanging="3600"/>
    </w:pPr>
  </w:style>
  <w:style w:type="character" w:styleId="FootnoteReference">
    <w:name w:val="footnote reference"/>
    <w:aliases w:val="Style 12,(NECG) Footnote Reference,Appel note de bas de p,Style 124,Style 4,Style 13,o,fr,Style 3,FR,Style 17,Footnote Reference/,Style 6"/>
    <w:rsid w:val="009A5EA5"/>
    <w:rPr>
      <w:rFonts w:ascii="Times New Roman" w:hAnsi="Times New Roman"/>
      <w:dstrike w:val="0"/>
      <w:color w:val="auto"/>
      <w:sz w:val="20"/>
      <w:vertAlign w:val="superscript"/>
    </w:rPr>
  </w:style>
  <w:style w:type="paragraph" w:styleId="Header">
    <w:name w:val="header"/>
    <w:basedOn w:val="Normal"/>
    <w:link w:val="HeaderChar"/>
    <w:autoRedefine/>
    <w:rsid w:val="009A5EA5"/>
    <w:pPr>
      <w:tabs>
        <w:tab w:val="center" w:pos="4680"/>
        <w:tab w:val="right" w:pos="9360"/>
      </w:tabs>
    </w:pPr>
    <w:rPr>
      <w:b/>
    </w:rPr>
  </w:style>
  <w:style w:type="paragraph" w:styleId="Footer">
    <w:name w:val="footer"/>
    <w:basedOn w:val="Normal"/>
    <w:link w:val="FooterChar"/>
    <w:rsid w:val="009A5EA5"/>
    <w:pPr>
      <w:tabs>
        <w:tab w:val="center" w:pos="4320"/>
        <w:tab w:val="right" w:pos="8640"/>
      </w:tabs>
    </w:pPr>
  </w:style>
  <w:style w:type="paragraph" w:styleId="TOC2">
    <w:name w:val="toc 2"/>
    <w:basedOn w:val="Normal"/>
    <w:next w:val="Normal"/>
    <w:rsid w:val="009A5EA5"/>
    <w:pPr>
      <w:tabs>
        <w:tab w:val="left" w:pos="720"/>
        <w:tab w:val="right" w:leader="dot" w:pos="9360"/>
      </w:tabs>
      <w:suppressAutoHyphens/>
      <w:ind w:left="720" w:right="720" w:hanging="360"/>
    </w:pPr>
    <w:rPr>
      <w:noProof/>
    </w:rPr>
  </w:style>
  <w:style w:type="paragraph" w:customStyle="1" w:styleId="NumberedList">
    <w:name w:val="Numbered List"/>
    <w:basedOn w:val="Normal"/>
    <w:rsid w:val="00561FF3"/>
    <w:pPr>
      <w:numPr>
        <w:numId w:val="1"/>
      </w:numPr>
      <w:tabs>
        <w:tab w:val="clear" w:pos="1080"/>
      </w:tabs>
      <w:spacing w:after="220"/>
      <w:ind w:firstLine="0"/>
    </w:pPr>
  </w:style>
  <w:style w:type="paragraph" w:styleId="TOC1">
    <w:name w:val="toc 1"/>
    <w:basedOn w:val="Normal"/>
    <w:next w:val="Normal"/>
    <w:rsid w:val="009A5EA5"/>
    <w:pPr>
      <w:tabs>
        <w:tab w:val="left" w:pos="360"/>
        <w:tab w:val="right" w:leader="dot" w:pos="9360"/>
      </w:tabs>
      <w:suppressAutoHyphens/>
      <w:ind w:left="360" w:right="720" w:hanging="360"/>
    </w:pPr>
    <w:rPr>
      <w:caps/>
      <w:noProof/>
    </w:rPr>
  </w:style>
  <w:style w:type="paragraph" w:styleId="TOC3">
    <w:name w:val="toc 3"/>
    <w:basedOn w:val="Normal"/>
    <w:next w:val="Normal"/>
    <w:rsid w:val="009A5EA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A5EA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A5EA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A5EA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A5EA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A5EA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A5EA5"/>
    <w:pPr>
      <w:tabs>
        <w:tab w:val="left" w:pos="3240"/>
        <w:tab w:val="right" w:leader="dot" w:pos="9360"/>
      </w:tabs>
      <w:suppressAutoHyphens/>
      <w:ind w:left="3240" w:hanging="360"/>
    </w:pPr>
    <w:rPr>
      <w:noProof/>
    </w:rPr>
  </w:style>
  <w:style w:type="character" w:styleId="PageNumber">
    <w:name w:val="page number"/>
    <w:basedOn w:val="DefaultParagraphFont"/>
    <w:rsid w:val="009A5EA5"/>
  </w:style>
  <w:style w:type="paragraph" w:styleId="Title">
    <w:name w:val="Title"/>
    <w:basedOn w:val="Normal"/>
    <w:link w:val="TitleChar"/>
    <w:qFormat/>
    <w:rsid w:val="00561FF3"/>
    <w:pPr>
      <w:jc w:val="center"/>
    </w:pPr>
    <w:rPr>
      <w:b/>
    </w:rPr>
  </w:style>
  <w:style w:type="paragraph" w:customStyle="1" w:styleId="StyleBoldCentered">
    <w:name w:val="Style Bold Centered"/>
    <w:basedOn w:val="Normal"/>
    <w:rsid w:val="009A5EA5"/>
    <w:pPr>
      <w:jc w:val="center"/>
    </w:pPr>
    <w:rPr>
      <w:rFonts w:ascii="Times New Roman Bold" w:hAnsi="Times New Roman Bold"/>
      <w:b/>
      <w:bCs/>
      <w:caps/>
      <w:szCs w:val="22"/>
    </w:rPr>
  </w:style>
  <w:style w:type="paragraph" w:styleId="EndnoteText">
    <w:name w:val="endnote text"/>
    <w:basedOn w:val="Normal"/>
    <w:link w:val="EndnoteTextChar"/>
    <w:semiHidden/>
    <w:rsid w:val="009A5EA5"/>
    <w:rPr>
      <w:sz w:val="20"/>
    </w:rPr>
  </w:style>
  <w:style w:type="character" w:customStyle="1" w:styleId="FootnoteTextChar">
    <w:name w:val="Footnote Text Char"/>
    <w:aliases w:val="Footnote Text Char2 Char,Footnote Text Char Char Char,Footnote Text Char1 Char Char1 Char,Footnote Text Char Char1 Char Char Char,Footnote Text Char3 Char Char Char Char Char,Footnote Text Char Char Char1 Char Char Char Char,fn Char"/>
    <w:link w:val="FootnoteText"/>
    <w:rsid w:val="004777BD"/>
  </w:style>
  <w:style w:type="character" w:customStyle="1" w:styleId="ParaNumChar1">
    <w:name w:val="ParaNum Char1"/>
    <w:link w:val="ParaNum"/>
    <w:locked/>
    <w:rsid w:val="004777BD"/>
    <w:rPr>
      <w:snapToGrid w:val="0"/>
      <w:kern w:val="28"/>
      <w:sz w:val="22"/>
    </w:rPr>
  </w:style>
  <w:style w:type="numbering" w:customStyle="1" w:styleId="Style1">
    <w:name w:val="Style1"/>
    <w:uiPriority w:val="99"/>
    <w:rsid w:val="004777BD"/>
    <w:pPr>
      <w:numPr>
        <w:numId w:val="2"/>
      </w:numPr>
    </w:pPr>
  </w:style>
  <w:style w:type="character" w:styleId="Hyperlink">
    <w:name w:val="Hyperlink"/>
    <w:rsid w:val="009A5EA5"/>
    <w:rPr>
      <w:color w:val="0000FF"/>
      <w:u w:val="single"/>
    </w:rPr>
  </w:style>
  <w:style w:type="paragraph" w:customStyle="1" w:styleId="Paranum0">
    <w:name w:val="Paranum"/>
    <w:rsid w:val="00863A53"/>
    <w:pPr>
      <w:numPr>
        <w:numId w:val="3"/>
      </w:numPr>
      <w:tabs>
        <w:tab w:val="left" w:pos="1440"/>
      </w:tabs>
      <w:spacing w:after="240"/>
      <w:jc w:val="both"/>
    </w:pPr>
    <w:rPr>
      <w:sz w:val="22"/>
    </w:rPr>
  </w:style>
  <w:style w:type="character" w:customStyle="1" w:styleId="ParaNumChar">
    <w:name w:val="ParaNum Char"/>
    <w:locked/>
    <w:rsid w:val="00344968"/>
    <w:rPr>
      <w:kern w:val="28"/>
      <w:sz w:val="22"/>
    </w:rPr>
  </w:style>
  <w:style w:type="paragraph" w:styleId="NormalWeb">
    <w:name w:val="Normal (Web)"/>
    <w:basedOn w:val="Normal"/>
    <w:rsid w:val="007764D3"/>
    <w:rPr>
      <w:sz w:val="24"/>
      <w:szCs w:val="24"/>
    </w:rPr>
  </w:style>
  <w:style w:type="character" w:styleId="Emphasis">
    <w:name w:val="Emphasis"/>
    <w:qFormat/>
    <w:rsid w:val="007764D3"/>
    <w:rPr>
      <w:i/>
      <w:iCs/>
    </w:rPr>
  </w:style>
  <w:style w:type="paragraph" w:styleId="BalloonText">
    <w:name w:val="Balloon Text"/>
    <w:basedOn w:val="Normal"/>
    <w:link w:val="BalloonTextChar"/>
    <w:rsid w:val="00816893"/>
    <w:rPr>
      <w:rFonts w:ascii="Tahoma" w:hAnsi="Tahoma"/>
      <w:sz w:val="16"/>
      <w:szCs w:val="16"/>
    </w:rPr>
  </w:style>
  <w:style w:type="character" w:customStyle="1" w:styleId="BalloonTextChar">
    <w:name w:val="Balloon Text Char"/>
    <w:link w:val="BalloonText"/>
    <w:rsid w:val="00816893"/>
    <w:rPr>
      <w:rFonts w:ascii="Tahoma" w:hAnsi="Tahoma" w:cs="Tahoma"/>
      <w:sz w:val="16"/>
      <w:szCs w:val="16"/>
    </w:rPr>
  </w:style>
  <w:style w:type="character" w:styleId="CommentReference">
    <w:name w:val="annotation reference"/>
    <w:uiPriority w:val="99"/>
    <w:rsid w:val="004849EA"/>
    <w:rPr>
      <w:sz w:val="16"/>
      <w:szCs w:val="16"/>
    </w:rPr>
  </w:style>
  <w:style w:type="paragraph" w:styleId="CommentText">
    <w:name w:val="annotation text"/>
    <w:basedOn w:val="Normal"/>
    <w:link w:val="CommentTextChar"/>
    <w:uiPriority w:val="99"/>
    <w:rsid w:val="004849EA"/>
    <w:rPr>
      <w:sz w:val="20"/>
    </w:rPr>
  </w:style>
  <w:style w:type="character" w:customStyle="1" w:styleId="CommentTextChar">
    <w:name w:val="Comment Text Char"/>
    <w:basedOn w:val="DefaultParagraphFont"/>
    <w:link w:val="CommentText"/>
    <w:uiPriority w:val="99"/>
    <w:rsid w:val="004849EA"/>
  </w:style>
  <w:style w:type="paragraph" w:styleId="CommentSubject">
    <w:name w:val="annotation subject"/>
    <w:basedOn w:val="CommentText"/>
    <w:next w:val="CommentText"/>
    <w:link w:val="CommentSubjectChar"/>
    <w:rsid w:val="004849EA"/>
    <w:rPr>
      <w:b/>
      <w:bCs/>
    </w:rPr>
  </w:style>
  <w:style w:type="character" w:customStyle="1" w:styleId="CommentSubjectChar">
    <w:name w:val="Comment Subject Char"/>
    <w:link w:val="CommentSubject"/>
    <w:rsid w:val="004849EA"/>
    <w:rPr>
      <w:b/>
      <w:bCs/>
    </w:rPr>
  </w:style>
  <w:style w:type="paragraph" w:customStyle="1" w:styleId="ColorfulShading-Accent11">
    <w:name w:val="Colorful Shading - Accent 11"/>
    <w:hidden/>
    <w:uiPriority w:val="99"/>
    <w:semiHidden/>
    <w:rsid w:val="004849EA"/>
    <w:rPr>
      <w:sz w:val="22"/>
    </w:rPr>
  </w:style>
  <w:style w:type="paragraph" w:customStyle="1" w:styleId="1">
    <w:name w:val="1"/>
    <w:basedOn w:val="Heading1"/>
    <w:next w:val="Normal"/>
    <w:uiPriority w:val="39"/>
    <w:unhideWhenUsed/>
    <w:qFormat/>
    <w:rsid w:val="00CC56FF"/>
    <w:pPr>
      <w:keepLines/>
      <w:widowControl/>
      <w:numPr>
        <w:numId w:val="0"/>
      </w:numPr>
      <w:tabs>
        <w:tab w:val="left" w:pos="720"/>
      </w:tabs>
      <w:suppressAutoHyphens w:val="0"/>
      <w:spacing w:before="480" w:after="0" w:line="276" w:lineRule="auto"/>
      <w:outlineLvl w:val="9"/>
    </w:pPr>
    <w:rPr>
      <w:rFonts w:ascii="Cambria" w:hAnsi="Cambria"/>
      <w:bCs/>
      <w:caps w:val="0"/>
      <w:color w:val="365F91"/>
      <w:sz w:val="28"/>
      <w:szCs w:val="28"/>
    </w:rPr>
  </w:style>
  <w:style w:type="character" w:customStyle="1" w:styleId="documentbody1">
    <w:name w:val="documentbody1"/>
    <w:rsid w:val="00FA04DD"/>
    <w:rPr>
      <w:rFonts w:ascii="Verdana" w:hAnsi="Verdana" w:cs="Times New Roman"/>
      <w:sz w:val="19"/>
      <w:szCs w:val="19"/>
    </w:rPr>
  </w:style>
  <w:style w:type="character" w:customStyle="1" w:styleId="Footnote">
    <w:name w:val="Footnote"/>
    <w:rsid w:val="00AF7FCC"/>
  </w:style>
  <w:style w:type="character" w:customStyle="1" w:styleId="FootnoteTextChar4">
    <w:name w:val="Footnote Text Char4"/>
    <w:aliases w:val="Footnote Text Char2 Char3,Footnote Text Char Char4 Char3,Footnote Text Char2 Char Char Char3,Footnote Text Char1 Char1 Char Char Char4,Footnote Text Char Char Char Char Char Char4,Footnote Text Char1 Char Char Char Char Char Char1"/>
    <w:rsid w:val="00AF7FCC"/>
    <w:rPr>
      <w:rFonts w:cs="Times New Roman"/>
      <w:lang w:val="en-US" w:eastAsia="en-US" w:bidi="ar-SA"/>
    </w:rPr>
  </w:style>
  <w:style w:type="character" w:customStyle="1" w:styleId="Unnamed1">
    <w:name w:val="Unnamed 1"/>
    <w:rsid w:val="00CB7520"/>
    <w:rPr>
      <w:rFonts w:ascii="Courier New" w:hAnsi="Courier New" w:cs="Courier New"/>
      <w:sz w:val="24"/>
      <w:lang w:val="en-US"/>
    </w:rPr>
  </w:style>
  <w:style w:type="character" w:customStyle="1" w:styleId="footnote0">
    <w:name w:val="footnote"/>
    <w:rsid w:val="00CB7520"/>
    <w:rPr>
      <w:rFonts w:cs="Times New Roman"/>
    </w:rPr>
  </w:style>
  <w:style w:type="character" w:customStyle="1" w:styleId="FootnoteTextCharCharCharChar3CharCharChar1">
    <w:name w:val="Footnote Text Char Char Char Char3 Char Char Char1"/>
    <w:aliases w:val="Footnote Text Char3 Char1,Footnote Text Char Char3 Char,Footnote Text Char1 Char Char3 Char,Footnote Text Char Char Char Char3 Char,Footnote Text Char1 Char Char3 Char Char Char"/>
    <w:rsid w:val="00CB7520"/>
    <w:rPr>
      <w:rFonts w:cs="Times New Roman"/>
      <w:lang w:val="en-US" w:eastAsia="en-US" w:bidi="ar-SA"/>
    </w:rPr>
  </w:style>
  <w:style w:type="character" w:customStyle="1" w:styleId="Heading2CharChar2">
    <w:name w:val="Heading 2 Char Char2"/>
    <w:rsid w:val="00CB7520"/>
    <w:rPr>
      <w:rFonts w:cs="Times New Roman"/>
      <w:b/>
      <w:snapToGrid w:val="0"/>
      <w:kern w:val="28"/>
      <w:sz w:val="24"/>
      <w:lang w:val="en-US" w:eastAsia="en-US" w:bidi="ar-SA"/>
    </w:rPr>
  </w:style>
  <w:style w:type="character" w:customStyle="1" w:styleId="StyleFootnoteReferenceStyle13Style12NECGFootnoteReferenc">
    <w:name w:val="Style Footnote ReferenceStyle 13Style 12(NECG) Footnote Referenc..."/>
    <w:rsid w:val="00CB7520"/>
    <w:rPr>
      <w:rFonts w:ascii="Times New Roman" w:hAnsi="Times New Roman"/>
      <w:dstrike w:val="0"/>
      <w:color w:val="auto"/>
      <w:sz w:val="20"/>
      <w:vertAlign w:val="superscript"/>
    </w:rPr>
  </w:style>
  <w:style w:type="character" w:customStyle="1" w:styleId="StyleFootnoteReferenceStyle13Style12NECGFootnoteReferenc1">
    <w:name w:val="Style Footnote ReferenceStyle 13Style 12(NECG) Footnote Referenc...1"/>
    <w:rsid w:val="00CB7520"/>
    <w:rPr>
      <w:rFonts w:ascii="Times New Roman" w:hAnsi="Times New Roman"/>
      <w:dstrike w:val="0"/>
      <w:color w:val="auto"/>
      <w:sz w:val="20"/>
      <w:vertAlign w:val="superscript"/>
    </w:rPr>
  </w:style>
  <w:style w:type="character" w:customStyle="1" w:styleId="FooterChar">
    <w:name w:val="Footer Char"/>
    <w:link w:val="Footer"/>
    <w:rsid w:val="002C1DE0"/>
    <w:rPr>
      <w:snapToGrid w:val="0"/>
      <w:kern w:val="28"/>
      <w:sz w:val="22"/>
    </w:rPr>
  </w:style>
  <w:style w:type="paragraph" w:customStyle="1" w:styleId="TOCHeading1">
    <w:name w:val="TOC Heading1"/>
    <w:basedOn w:val="Heading1"/>
    <w:next w:val="Normal"/>
    <w:uiPriority w:val="39"/>
    <w:qFormat/>
    <w:rsid w:val="00CC56FF"/>
    <w:pPr>
      <w:keepLines/>
      <w:widowControl/>
      <w:numPr>
        <w:numId w:val="0"/>
      </w:numPr>
      <w:tabs>
        <w:tab w:val="left" w:pos="720"/>
      </w:tabs>
      <w:suppressAutoHyphens w:val="0"/>
      <w:spacing w:before="480" w:after="0" w:line="276" w:lineRule="auto"/>
      <w:outlineLvl w:val="9"/>
    </w:pPr>
    <w:rPr>
      <w:rFonts w:ascii="Cambria" w:eastAsia="MS Gothic" w:hAnsi="Cambria"/>
      <w:bCs/>
      <w:caps w:val="0"/>
      <w:color w:val="365F91"/>
      <w:sz w:val="28"/>
      <w:szCs w:val="28"/>
      <w:lang w:eastAsia="ja-JP"/>
    </w:rPr>
  </w:style>
  <w:style w:type="paragraph" w:styleId="Revision">
    <w:name w:val="Revision"/>
    <w:hidden/>
    <w:uiPriority w:val="99"/>
    <w:semiHidden/>
    <w:rsid w:val="00524431"/>
    <w:rPr>
      <w:sz w:val="22"/>
    </w:rPr>
  </w:style>
  <w:style w:type="character" w:customStyle="1" w:styleId="SC465550">
    <w:name w:val="SC.4.65550"/>
    <w:uiPriority w:val="99"/>
    <w:rsid w:val="00B358A1"/>
    <w:rPr>
      <w:rFonts w:ascii="OMDAA K+ Century" w:hAnsi="OMDAA K+ Century" w:cs="OMDAA K+ Century" w:hint="default"/>
      <w:color w:val="000000"/>
      <w:sz w:val="20"/>
      <w:szCs w:val="20"/>
    </w:rPr>
  </w:style>
  <w:style w:type="character" w:customStyle="1" w:styleId="HeaderChar">
    <w:name w:val="Header Char"/>
    <w:basedOn w:val="DefaultParagraphFont"/>
    <w:link w:val="Header"/>
    <w:rsid w:val="00DD2A3A"/>
    <w:rPr>
      <w:b/>
      <w:snapToGrid w:val="0"/>
      <w:kern w:val="28"/>
      <w:sz w:val="22"/>
    </w:rPr>
  </w:style>
  <w:style w:type="character" w:styleId="FollowedHyperlink">
    <w:name w:val="FollowedHyperlink"/>
    <w:basedOn w:val="DefaultParagraphFont"/>
    <w:rsid w:val="0036742D"/>
    <w:rPr>
      <w:color w:val="800080" w:themeColor="followedHyperlink"/>
      <w:u w:val="single"/>
    </w:rPr>
  </w:style>
  <w:style w:type="character" w:customStyle="1" w:styleId="Heading1Char">
    <w:name w:val="Heading 1 Char"/>
    <w:basedOn w:val="DefaultParagraphFont"/>
    <w:link w:val="Heading1"/>
    <w:rsid w:val="009549AB"/>
    <w:rPr>
      <w:rFonts w:ascii="Times New Roman Bold" w:hAnsi="Times New Roman Bold"/>
      <w:b/>
      <w:caps/>
      <w:snapToGrid w:val="0"/>
      <w:kern w:val="28"/>
      <w:sz w:val="22"/>
    </w:rPr>
  </w:style>
  <w:style w:type="character" w:customStyle="1" w:styleId="Heading2Char2">
    <w:name w:val="Heading 2 Char2"/>
    <w:aliases w:val="Heading 2 Char Char,Heading 2 Char1 Char Char Char,Heading 2 Char Char Char Char Char,Heading 2 Char1 Char,Heading 2 Char1 Char Char1 Char,Heading 2 Char1 Char Char Char Char1 Char Char,Heading 2 Char Char Char Char Char Char1 Char Char"/>
    <w:basedOn w:val="DefaultParagraphFont"/>
    <w:link w:val="Heading2"/>
    <w:rsid w:val="00021D5D"/>
    <w:rPr>
      <w:b/>
      <w:snapToGrid w:val="0"/>
      <w:kern w:val="28"/>
      <w:sz w:val="22"/>
    </w:rPr>
  </w:style>
  <w:style w:type="character" w:customStyle="1" w:styleId="Heading3Char">
    <w:name w:val="Heading 3 Char"/>
    <w:basedOn w:val="DefaultParagraphFont"/>
    <w:link w:val="Heading3"/>
    <w:rsid w:val="009549AB"/>
    <w:rPr>
      <w:b/>
      <w:snapToGrid w:val="0"/>
      <w:kern w:val="28"/>
      <w:sz w:val="22"/>
    </w:rPr>
  </w:style>
  <w:style w:type="character" w:customStyle="1" w:styleId="Heading4Char">
    <w:name w:val="Heading 4 Char"/>
    <w:basedOn w:val="DefaultParagraphFont"/>
    <w:link w:val="Heading4"/>
    <w:rsid w:val="009549AB"/>
    <w:rPr>
      <w:b/>
      <w:snapToGrid w:val="0"/>
      <w:kern w:val="28"/>
      <w:sz w:val="22"/>
    </w:rPr>
  </w:style>
  <w:style w:type="character" w:customStyle="1" w:styleId="Heading5Char">
    <w:name w:val="Heading 5 Char"/>
    <w:basedOn w:val="DefaultParagraphFont"/>
    <w:link w:val="Heading5"/>
    <w:rsid w:val="009549AB"/>
    <w:rPr>
      <w:b/>
      <w:snapToGrid w:val="0"/>
      <w:kern w:val="28"/>
      <w:sz w:val="22"/>
    </w:rPr>
  </w:style>
  <w:style w:type="character" w:customStyle="1" w:styleId="Heading6Char">
    <w:name w:val="Heading 6 Char"/>
    <w:aliases w:val="h6 Char"/>
    <w:basedOn w:val="DefaultParagraphFont"/>
    <w:link w:val="Heading6"/>
    <w:rsid w:val="009549AB"/>
    <w:rPr>
      <w:b/>
      <w:snapToGrid w:val="0"/>
      <w:kern w:val="28"/>
      <w:sz w:val="22"/>
    </w:rPr>
  </w:style>
  <w:style w:type="character" w:customStyle="1" w:styleId="Heading7Char">
    <w:name w:val="Heading 7 Char"/>
    <w:basedOn w:val="DefaultParagraphFont"/>
    <w:link w:val="Heading7"/>
    <w:rsid w:val="009549AB"/>
    <w:rPr>
      <w:b/>
      <w:snapToGrid w:val="0"/>
      <w:kern w:val="28"/>
      <w:sz w:val="22"/>
    </w:rPr>
  </w:style>
  <w:style w:type="character" w:customStyle="1" w:styleId="Heading8Char">
    <w:name w:val="Heading 8 Char"/>
    <w:basedOn w:val="DefaultParagraphFont"/>
    <w:link w:val="Heading8"/>
    <w:rsid w:val="009549AB"/>
    <w:rPr>
      <w:b/>
      <w:snapToGrid w:val="0"/>
      <w:kern w:val="28"/>
      <w:sz w:val="22"/>
    </w:rPr>
  </w:style>
  <w:style w:type="character" w:customStyle="1" w:styleId="Heading9Char">
    <w:name w:val="Heading 9 Char"/>
    <w:basedOn w:val="DefaultParagraphFont"/>
    <w:link w:val="Heading9"/>
    <w:rsid w:val="009549AB"/>
    <w:rPr>
      <w:b/>
      <w:snapToGrid w:val="0"/>
      <w:kern w:val="28"/>
      <w:sz w:val="22"/>
    </w:rPr>
  </w:style>
  <w:style w:type="character" w:customStyle="1" w:styleId="TitleChar">
    <w:name w:val="Title Char"/>
    <w:basedOn w:val="DefaultParagraphFont"/>
    <w:link w:val="Title"/>
    <w:rsid w:val="009549AB"/>
    <w:rPr>
      <w:b/>
      <w:sz w:val="22"/>
    </w:rPr>
  </w:style>
  <w:style w:type="character" w:customStyle="1" w:styleId="EndnoteTextChar">
    <w:name w:val="Endnote Text Char"/>
    <w:basedOn w:val="DefaultParagraphFont"/>
    <w:link w:val="EndnoteText"/>
    <w:semiHidden/>
    <w:rsid w:val="009549AB"/>
    <w:rPr>
      <w:snapToGrid w:val="0"/>
      <w:kern w:val="28"/>
    </w:rPr>
  </w:style>
  <w:style w:type="paragraph" w:styleId="TOCHeading">
    <w:name w:val="TOC Heading"/>
    <w:basedOn w:val="Heading1"/>
    <w:next w:val="Normal"/>
    <w:uiPriority w:val="39"/>
    <w:unhideWhenUsed/>
    <w:qFormat/>
    <w:rsid w:val="00B17FE2"/>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ja-JP"/>
    </w:rPr>
  </w:style>
  <w:style w:type="character" w:styleId="EndnoteReference">
    <w:name w:val="endnote reference"/>
    <w:rsid w:val="009A5EA5"/>
    <w:rPr>
      <w:vertAlign w:val="superscript"/>
    </w:rPr>
  </w:style>
  <w:style w:type="paragraph" w:styleId="TOAHeading">
    <w:name w:val="toa heading"/>
    <w:basedOn w:val="Normal"/>
    <w:next w:val="Normal"/>
    <w:rsid w:val="009A5EA5"/>
    <w:pPr>
      <w:tabs>
        <w:tab w:val="right" w:pos="9360"/>
      </w:tabs>
      <w:suppressAutoHyphens/>
    </w:pPr>
  </w:style>
  <w:style w:type="character" w:customStyle="1" w:styleId="EquationCaption">
    <w:name w:val="_Equation Caption"/>
    <w:rsid w:val="009A5EA5"/>
  </w:style>
  <w:style w:type="paragraph" w:customStyle="1" w:styleId="Paratitle">
    <w:name w:val="Para title"/>
    <w:basedOn w:val="Normal"/>
    <w:rsid w:val="009A5EA5"/>
    <w:pPr>
      <w:tabs>
        <w:tab w:val="center" w:pos="9270"/>
      </w:tabs>
      <w:spacing w:after="240"/>
    </w:pPr>
    <w:rPr>
      <w:spacing w:val="-2"/>
    </w:rPr>
  </w:style>
  <w:style w:type="paragraph" w:customStyle="1" w:styleId="TOCTitle">
    <w:name w:val="TOC Title"/>
    <w:basedOn w:val="Normal"/>
    <w:rsid w:val="009A5EA5"/>
    <w:pPr>
      <w:spacing w:before="240" w:after="240"/>
      <w:jc w:val="center"/>
    </w:pPr>
    <w:rPr>
      <w:rFonts w:ascii="Times New Roman Bold" w:hAnsi="Times New Roman Bold"/>
      <w:b/>
      <w:caps/>
      <w:spacing w:val="-2"/>
    </w:rPr>
  </w:style>
  <w:style w:type="paragraph" w:styleId="ListParagraph">
    <w:name w:val="List Paragraph"/>
    <w:basedOn w:val="Normal"/>
    <w:uiPriority w:val="34"/>
    <w:qFormat/>
    <w:rsid w:val="001B1B0F"/>
    <w:pPr>
      <w:ind w:left="720"/>
      <w:contextualSpacing/>
    </w:pPr>
  </w:style>
  <w:style w:type="table" w:styleId="TableGrid">
    <w:name w:val="Table Grid"/>
    <w:basedOn w:val="TableNormal"/>
    <w:uiPriority w:val="59"/>
    <w:rsid w:val="002A2B9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E7210"/>
    <w:pPr>
      <w:snapToGrid w:val="0"/>
      <w:spacing w:after="120"/>
    </w:pPr>
    <w:rPr>
      <w:snapToGrid/>
      <w:sz w:val="24"/>
    </w:rPr>
  </w:style>
  <w:style w:type="character" w:customStyle="1" w:styleId="BodyTextChar">
    <w:name w:val="Body Text Char"/>
    <w:basedOn w:val="DefaultParagraphFont"/>
    <w:link w:val="BodyText"/>
    <w:rsid w:val="008E7210"/>
    <w:rPr>
      <w:kern w:val="28"/>
      <w:sz w:val="24"/>
    </w:rPr>
  </w:style>
  <w:style w:type="paragraph" w:styleId="PlainText">
    <w:name w:val="Plain Text"/>
    <w:basedOn w:val="Normal"/>
    <w:link w:val="PlainTextChar"/>
    <w:uiPriority w:val="99"/>
    <w:unhideWhenUsed/>
    <w:rsid w:val="009D36F0"/>
    <w:pPr>
      <w:widowControl/>
    </w:pPr>
    <w:rPr>
      <w:rFonts w:ascii="Calibri" w:eastAsiaTheme="minorHAnsi" w:hAnsi="Calibri" w:cstheme="minorBidi"/>
      <w:snapToGrid/>
      <w:kern w:val="0"/>
      <w:szCs w:val="21"/>
    </w:rPr>
  </w:style>
  <w:style w:type="character" w:customStyle="1" w:styleId="PlainTextChar">
    <w:name w:val="Plain Text Char"/>
    <w:basedOn w:val="DefaultParagraphFont"/>
    <w:link w:val="PlainText"/>
    <w:uiPriority w:val="99"/>
    <w:rsid w:val="009D36F0"/>
    <w:rPr>
      <w:rFonts w:ascii="Calibri" w:eastAsiaTheme="minorHAnsi" w:hAnsi="Calibri" w:cstheme="minorBidi"/>
      <w:sz w:val="22"/>
      <w:szCs w:val="21"/>
    </w:rPr>
  </w:style>
</w:styles>
</file>

<file path=word/webSettings.xml><?xml version="1.0" encoding="utf-8"?>
<w:webSettings xmlns:r="http://schemas.openxmlformats.org/officeDocument/2006/relationships" xmlns:w="http://schemas.openxmlformats.org/wordprocessingml/2006/main">
  <w:divs>
    <w:div w:id="152914902">
      <w:bodyDiv w:val="1"/>
      <w:marLeft w:val="0"/>
      <w:marRight w:val="0"/>
      <w:marTop w:val="0"/>
      <w:marBottom w:val="0"/>
      <w:divBdr>
        <w:top w:val="none" w:sz="0" w:space="0" w:color="auto"/>
        <w:left w:val="none" w:sz="0" w:space="0" w:color="auto"/>
        <w:bottom w:val="none" w:sz="0" w:space="0" w:color="auto"/>
        <w:right w:val="none" w:sz="0" w:space="0" w:color="auto"/>
      </w:divBdr>
    </w:div>
    <w:div w:id="233055040">
      <w:bodyDiv w:val="1"/>
      <w:marLeft w:val="0"/>
      <w:marRight w:val="0"/>
      <w:marTop w:val="0"/>
      <w:marBottom w:val="0"/>
      <w:divBdr>
        <w:top w:val="none" w:sz="0" w:space="0" w:color="auto"/>
        <w:left w:val="none" w:sz="0" w:space="0" w:color="auto"/>
        <w:bottom w:val="none" w:sz="0" w:space="0" w:color="auto"/>
        <w:right w:val="none" w:sz="0" w:space="0" w:color="auto"/>
      </w:divBdr>
    </w:div>
    <w:div w:id="566889729">
      <w:bodyDiv w:val="1"/>
      <w:marLeft w:val="0"/>
      <w:marRight w:val="0"/>
      <w:marTop w:val="0"/>
      <w:marBottom w:val="0"/>
      <w:divBdr>
        <w:top w:val="none" w:sz="0" w:space="0" w:color="auto"/>
        <w:left w:val="none" w:sz="0" w:space="0" w:color="auto"/>
        <w:bottom w:val="none" w:sz="0" w:space="0" w:color="auto"/>
        <w:right w:val="none" w:sz="0" w:space="0" w:color="auto"/>
      </w:divBdr>
    </w:div>
    <w:div w:id="1211771654">
      <w:bodyDiv w:val="1"/>
      <w:marLeft w:val="0"/>
      <w:marRight w:val="0"/>
      <w:marTop w:val="0"/>
      <w:marBottom w:val="0"/>
      <w:divBdr>
        <w:top w:val="none" w:sz="0" w:space="0" w:color="auto"/>
        <w:left w:val="none" w:sz="0" w:space="0" w:color="auto"/>
        <w:bottom w:val="none" w:sz="0" w:space="0" w:color="auto"/>
        <w:right w:val="none" w:sz="0" w:space="0" w:color="auto"/>
      </w:divBdr>
    </w:div>
    <w:div w:id="1765954368">
      <w:bodyDiv w:val="1"/>
      <w:marLeft w:val="0"/>
      <w:marRight w:val="0"/>
      <w:marTop w:val="0"/>
      <w:marBottom w:val="0"/>
      <w:divBdr>
        <w:top w:val="none" w:sz="0" w:space="0" w:color="auto"/>
        <w:left w:val="none" w:sz="0" w:space="0" w:color="auto"/>
        <w:bottom w:val="none" w:sz="0" w:space="0" w:color="auto"/>
        <w:right w:val="none" w:sz="0" w:space="0" w:color="auto"/>
      </w:divBdr>
    </w:div>
    <w:div w:id="1927616617">
      <w:bodyDiv w:val="1"/>
      <w:marLeft w:val="0"/>
      <w:marRight w:val="0"/>
      <w:marTop w:val="0"/>
      <w:marBottom w:val="0"/>
      <w:divBdr>
        <w:top w:val="none" w:sz="0" w:space="0" w:color="auto"/>
        <w:left w:val="none" w:sz="0" w:space="0" w:color="auto"/>
        <w:bottom w:val="none" w:sz="0" w:space="0" w:color="auto"/>
        <w:right w:val="none" w:sz="0" w:space="0" w:color="auto"/>
      </w:divBdr>
    </w:div>
    <w:div w:id="1963800300">
      <w:bodyDiv w:val="1"/>
      <w:marLeft w:val="0"/>
      <w:marRight w:val="0"/>
      <w:marTop w:val="0"/>
      <w:marBottom w:val="0"/>
      <w:divBdr>
        <w:top w:val="none" w:sz="0" w:space="0" w:color="auto"/>
        <w:left w:val="none" w:sz="0" w:space="0" w:color="auto"/>
        <w:bottom w:val="none" w:sz="0" w:space="0" w:color="auto"/>
        <w:right w:val="none" w:sz="0" w:space="0" w:color="auto"/>
      </w:divBdr>
    </w:div>
    <w:div w:id="1972052374">
      <w:bodyDiv w:val="1"/>
      <w:marLeft w:val="0"/>
      <w:marRight w:val="0"/>
      <w:marTop w:val="0"/>
      <w:marBottom w:val="0"/>
      <w:divBdr>
        <w:top w:val="none" w:sz="0" w:space="0" w:color="auto"/>
        <w:left w:val="none" w:sz="0" w:space="0" w:color="auto"/>
        <w:bottom w:val="none" w:sz="0" w:space="0" w:color="auto"/>
        <w:right w:val="none" w:sz="0" w:space="0" w:color="auto"/>
      </w:divBdr>
      <w:divsChild>
        <w:div w:id="84233401">
          <w:marLeft w:val="0"/>
          <w:marRight w:val="0"/>
          <w:marTop w:val="0"/>
          <w:marBottom w:val="0"/>
          <w:divBdr>
            <w:top w:val="none" w:sz="0" w:space="0" w:color="auto"/>
            <w:left w:val="none" w:sz="0" w:space="0" w:color="auto"/>
            <w:bottom w:val="none" w:sz="0" w:space="0" w:color="auto"/>
            <w:right w:val="none" w:sz="0" w:space="0" w:color="auto"/>
          </w:divBdr>
        </w:div>
      </w:divsChild>
    </w:div>
    <w:div w:id="21434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ition.fcc.gov/fees/wiretran.html"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transition.fcc.gov/fees/regfee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Thomas\AppData\Local\Microsoft\Windows\Temporary%20Internet%20Files\Content.IE5\AppData\Local\Microsoft\Windows\Temporary%20Internet%20Files\Content.IE5\Users\Mika.Savir\AppData\Local\Microsoft\Windows\Temporary%20Internet%20Files\AppData\Local\Microsoft\Windows\Temporary%20Internet%20Files\Content.IE5\Users\Roland.Helvajian\AppData\Local\Microsoft\Windows\Temporary%20Internet%20Files\Content.Outlook\Users\Mika.Savir\AppData\Local\Microsoft\Windows\Temporary%20Internet%20Files\Content.Outlook\Local%20Settings\Temporary%20Internet%20Files\Users\Mika.Savir\AppData\Local\Microsoft\Windows\Temporary%20Internet%20Files\AppData\Local\Microsoft\Windows\Temporary%20Internet%20Files\Content.IE5\Local%20Settings\Temporary%20Internet%20Files\AppData\Local\Microsoft\Windows\Temporary%20Internet%20Files\Content.IE5\Users\Mika.Savir\AppData\Local\Microsoft\Windows\Temporary%20Internet%20Files\Content.Outlook\204T2IWP\fcc504@fcc.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census.gov/cgi-bin/sssd/naics/naicsrch?code=517212&amp;search=2002%20NAICS%20Search" TargetMode="External"/><Relationship Id="rId13" Type="http://schemas.openxmlformats.org/officeDocument/2006/relationships/hyperlink" Target="http://www.census.gov/cgi-bin/sssd/naics/naicsrch?code=517212&amp;search=2002%20NAICS%20Search" TargetMode="External"/><Relationship Id="rId3" Type="http://schemas.openxmlformats.org/officeDocument/2006/relationships/hyperlink" Target="http://www.sba.gov/sites/default/files/FAQ_Sept_2012.pdf." TargetMode="External"/><Relationship Id="rId7" Type="http://schemas.openxmlformats.org/officeDocument/2006/relationships/hyperlink" Target="http://www.census.gov/cgibin/" TargetMode="External"/><Relationship Id="rId12" Type="http://schemas.openxmlformats.org/officeDocument/2006/relationships/hyperlink" Target="http://www.census.gov/cgibin/" TargetMode="External"/><Relationship Id="rId2" Type="http://schemas.openxmlformats.org/officeDocument/2006/relationships/hyperlink" Target="http://www.whitehouse.gov/the-press-office/2011/06/13/executive-order-13576-delivering-efficient-effective-and-accountable-gov" TargetMode="External"/><Relationship Id="rId1" Type="http://schemas.openxmlformats.org/officeDocument/2006/relationships/hyperlink" Target="http://www.sms800.com/Controls/NAC/Serviceprovider.aspx" TargetMode="External"/><Relationship Id="rId6" Type="http://schemas.openxmlformats.org/officeDocument/2006/relationships/hyperlink" Target="http://factfinder2.census.gov/faces/tableservices/jsf/pages/productview.xhtml?pid=ECN_2007_US_51SSSZ2&amp;prodType=table" TargetMode="External"/><Relationship Id="rId11" Type="http://schemas.openxmlformats.org/officeDocument/2006/relationships/hyperlink" Target="http://www.sba.gov/sites/default/files/FAQ_Sept_2012.pdf." TargetMode="External"/><Relationship Id="rId5" Type="http://schemas.openxmlformats.org/officeDocument/2006/relationships/hyperlink" Target="http://factfinder2.census.gov/faces/tableservices/jsf/pages/productview.xhtml?pid=ECN_2007_US_51SSSZ2&amp;prodType=table" TargetMode="External"/><Relationship Id="rId15" Type="http://schemas.openxmlformats.org/officeDocument/2006/relationships/hyperlink" Target="http://www.census.gov/cgi-bin/sssd/naics/naicsrch?code=517919&amp;search=2007%20NAICS%20Search" TargetMode="External"/><Relationship Id="rId10" Type="http://schemas.openxmlformats.org/officeDocument/2006/relationships/hyperlink" Target="http://www.census.gov/cgi-bin/sssd/naics/naicsrch?code=517919&amp;search=2007%20NAICS%20Search" TargetMode="External"/><Relationship Id="rId4" Type="http://schemas.openxmlformats.org/officeDocument/2006/relationships/hyperlink" Target="http://factfinder2.census.gov/faces/tableservices/jsf/pages/productview.xhtml?pid=ECN_2007_US_51SSSZ2&amp;prodType=table" TargetMode="External"/><Relationship Id="rId9" Type="http://schemas.openxmlformats.org/officeDocument/2006/relationships/hyperlink" Target="http://www.census.gov/cgi-bin/sssd/naics/naicsrch?code=517110&amp;search=2007%20NAICS%20Search" TargetMode="External"/><Relationship Id="rId14" Type="http://schemas.openxmlformats.org/officeDocument/2006/relationships/hyperlink" Target="http://www.census.gov/cgi-bin/sssd/naics/naicsrch?code=517110&amp;search=2007%20NAICS%20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62</Pages>
  <Words>21453</Words>
  <Characters>122284</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143451</CharactersWithSpaces>
  <SharedDoc>false</SharedDoc>
  <HyperlinkBase> </HyperlinkBase>
  <HLinks>
    <vt:vector size="426" baseType="variant">
      <vt:variant>
        <vt:i4>6488123</vt:i4>
      </vt:variant>
      <vt:variant>
        <vt:i4>268</vt:i4>
      </vt:variant>
      <vt:variant>
        <vt:i4>0</vt:i4>
      </vt:variant>
      <vt:variant>
        <vt:i4>5</vt:i4>
      </vt:variant>
      <vt:variant>
        <vt:lpwstr>../AppData/Local/Microsoft/Windows/Temporary Internet Files/Content.IE5/AppData/Local/Microsoft/Windows/Temporary Internet Files/Content.IE5/Users/Mika.Savir/AppData/Local/Microsoft/Windows/Temporary Internet Files/AppData/Local/Microsoft/Windows/Temporary Internet Files/Content.IE5/Users/Roland.Helvajian/AppData/Local/Microsoft/Windows/Temporary Internet Files/Content.Outlook/Users/Mika.Savir/AppData/Local/Microsoft/Windows/Temporary Internet Files/Content.Outlook/Local Settings/Temporary Internet Files/Users/Mika.Savir/AppData/Local/Microsoft/Windows/Temporary Internet Files/AppData/Local/Microsoft/Windows/Temporary Internet Files/Content.IE5/Local Settings/Temporary Internet Files/AppData/Local/Microsoft/Windows/Temporary Internet Files/Content.IE5/Users/Mika.Savir/AppData/Local/Microsoft/Windows/Temporary Internet Files/Content.Outlook/204T2IWP/fcc504@fcc.gov</vt:lpwstr>
      </vt:variant>
      <vt:variant>
        <vt:lpwstr/>
      </vt:variant>
      <vt:variant>
        <vt:i4>7929897</vt:i4>
      </vt:variant>
      <vt:variant>
        <vt:i4>265</vt:i4>
      </vt:variant>
      <vt:variant>
        <vt:i4>0</vt:i4>
      </vt:variant>
      <vt:variant>
        <vt:i4>5</vt:i4>
      </vt:variant>
      <vt:variant>
        <vt:lpwstr>http://fjallfoss.fcc.gov/ecfs2/</vt:lpwstr>
      </vt:variant>
      <vt:variant>
        <vt:lpwstr/>
      </vt:variant>
      <vt:variant>
        <vt:i4>4522070</vt:i4>
      </vt:variant>
      <vt:variant>
        <vt:i4>262</vt:i4>
      </vt:variant>
      <vt:variant>
        <vt:i4>0</vt:i4>
      </vt:variant>
      <vt:variant>
        <vt:i4>5</vt:i4>
      </vt:variant>
      <vt:variant>
        <vt:lpwstr>http://transition.fcc.gov/fees/wiretran.html</vt:lpwstr>
      </vt:variant>
      <vt:variant>
        <vt:lpwstr/>
      </vt:variant>
      <vt:variant>
        <vt:i4>6619263</vt:i4>
      </vt:variant>
      <vt:variant>
        <vt:i4>259</vt:i4>
      </vt:variant>
      <vt:variant>
        <vt:i4>0</vt:i4>
      </vt:variant>
      <vt:variant>
        <vt:i4>5</vt:i4>
      </vt:variant>
      <vt:variant>
        <vt:lpwstr>http://transition.fcc.gov/fees/regfees.html</vt:lpwstr>
      </vt:variant>
      <vt:variant>
        <vt:lpwstr/>
      </vt:variant>
      <vt:variant>
        <vt:i4>1507379</vt:i4>
      </vt:variant>
      <vt:variant>
        <vt:i4>252</vt:i4>
      </vt:variant>
      <vt:variant>
        <vt:i4>0</vt:i4>
      </vt:variant>
      <vt:variant>
        <vt:i4>5</vt:i4>
      </vt:variant>
      <vt:variant>
        <vt:lpwstr/>
      </vt:variant>
      <vt:variant>
        <vt:lpwstr>_Toc353032079</vt:lpwstr>
      </vt:variant>
      <vt:variant>
        <vt:i4>1507379</vt:i4>
      </vt:variant>
      <vt:variant>
        <vt:i4>246</vt:i4>
      </vt:variant>
      <vt:variant>
        <vt:i4>0</vt:i4>
      </vt:variant>
      <vt:variant>
        <vt:i4>5</vt:i4>
      </vt:variant>
      <vt:variant>
        <vt:lpwstr/>
      </vt:variant>
      <vt:variant>
        <vt:lpwstr>_Toc353032078</vt:lpwstr>
      </vt:variant>
      <vt:variant>
        <vt:i4>1507379</vt:i4>
      </vt:variant>
      <vt:variant>
        <vt:i4>240</vt:i4>
      </vt:variant>
      <vt:variant>
        <vt:i4>0</vt:i4>
      </vt:variant>
      <vt:variant>
        <vt:i4>5</vt:i4>
      </vt:variant>
      <vt:variant>
        <vt:lpwstr/>
      </vt:variant>
      <vt:variant>
        <vt:lpwstr>_Toc353032077</vt:lpwstr>
      </vt:variant>
      <vt:variant>
        <vt:i4>1507379</vt:i4>
      </vt:variant>
      <vt:variant>
        <vt:i4>234</vt:i4>
      </vt:variant>
      <vt:variant>
        <vt:i4>0</vt:i4>
      </vt:variant>
      <vt:variant>
        <vt:i4>5</vt:i4>
      </vt:variant>
      <vt:variant>
        <vt:lpwstr/>
      </vt:variant>
      <vt:variant>
        <vt:lpwstr>_Toc353032076</vt:lpwstr>
      </vt:variant>
      <vt:variant>
        <vt:i4>1507379</vt:i4>
      </vt:variant>
      <vt:variant>
        <vt:i4>228</vt:i4>
      </vt:variant>
      <vt:variant>
        <vt:i4>0</vt:i4>
      </vt:variant>
      <vt:variant>
        <vt:i4>5</vt:i4>
      </vt:variant>
      <vt:variant>
        <vt:lpwstr/>
      </vt:variant>
      <vt:variant>
        <vt:lpwstr>_Toc353032075</vt:lpwstr>
      </vt:variant>
      <vt:variant>
        <vt:i4>1507379</vt:i4>
      </vt:variant>
      <vt:variant>
        <vt:i4>222</vt:i4>
      </vt:variant>
      <vt:variant>
        <vt:i4>0</vt:i4>
      </vt:variant>
      <vt:variant>
        <vt:i4>5</vt:i4>
      </vt:variant>
      <vt:variant>
        <vt:lpwstr/>
      </vt:variant>
      <vt:variant>
        <vt:lpwstr>_Toc353032074</vt:lpwstr>
      </vt:variant>
      <vt:variant>
        <vt:i4>1507379</vt:i4>
      </vt:variant>
      <vt:variant>
        <vt:i4>216</vt:i4>
      </vt:variant>
      <vt:variant>
        <vt:i4>0</vt:i4>
      </vt:variant>
      <vt:variant>
        <vt:i4>5</vt:i4>
      </vt:variant>
      <vt:variant>
        <vt:lpwstr/>
      </vt:variant>
      <vt:variant>
        <vt:lpwstr>_Toc353032073</vt:lpwstr>
      </vt:variant>
      <vt:variant>
        <vt:i4>1507379</vt:i4>
      </vt:variant>
      <vt:variant>
        <vt:i4>210</vt:i4>
      </vt:variant>
      <vt:variant>
        <vt:i4>0</vt:i4>
      </vt:variant>
      <vt:variant>
        <vt:i4>5</vt:i4>
      </vt:variant>
      <vt:variant>
        <vt:lpwstr/>
      </vt:variant>
      <vt:variant>
        <vt:lpwstr>_Toc353032072</vt:lpwstr>
      </vt:variant>
      <vt:variant>
        <vt:i4>1507379</vt:i4>
      </vt:variant>
      <vt:variant>
        <vt:i4>204</vt:i4>
      </vt:variant>
      <vt:variant>
        <vt:i4>0</vt:i4>
      </vt:variant>
      <vt:variant>
        <vt:i4>5</vt:i4>
      </vt:variant>
      <vt:variant>
        <vt:lpwstr/>
      </vt:variant>
      <vt:variant>
        <vt:lpwstr>_Toc353032071</vt:lpwstr>
      </vt:variant>
      <vt:variant>
        <vt:i4>1507379</vt:i4>
      </vt:variant>
      <vt:variant>
        <vt:i4>198</vt:i4>
      </vt:variant>
      <vt:variant>
        <vt:i4>0</vt:i4>
      </vt:variant>
      <vt:variant>
        <vt:i4>5</vt:i4>
      </vt:variant>
      <vt:variant>
        <vt:lpwstr/>
      </vt:variant>
      <vt:variant>
        <vt:lpwstr>_Toc353032070</vt:lpwstr>
      </vt:variant>
      <vt:variant>
        <vt:i4>1441843</vt:i4>
      </vt:variant>
      <vt:variant>
        <vt:i4>192</vt:i4>
      </vt:variant>
      <vt:variant>
        <vt:i4>0</vt:i4>
      </vt:variant>
      <vt:variant>
        <vt:i4>5</vt:i4>
      </vt:variant>
      <vt:variant>
        <vt:lpwstr/>
      </vt:variant>
      <vt:variant>
        <vt:lpwstr>_Toc353032069</vt:lpwstr>
      </vt:variant>
      <vt:variant>
        <vt:i4>1441843</vt:i4>
      </vt:variant>
      <vt:variant>
        <vt:i4>186</vt:i4>
      </vt:variant>
      <vt:variant>
        <vt:i4>0</vt:i4>
      </vt:variant>
      <vt:variant>
        <vt:i4>5</vt:i4>
      </vt:variant>
      <vt:variant>
        <vt:lpwstr/>
      </vt:variant>
      <vt:variant>
        <vt:lpwstr>_Toc353032068</vt:lpwstr>
      </vt:variant>
      <vt:variant>
        <vt:i4>1441843</vt:i4>
      </vt:variant>
      <vt:variant>
        <vt:i4>180</vt:i4>
      </vt:variant>
      <vt:variant>
        <vt:i4>0</vt:i4>
      </vt:variant>
      <vt:variant>
        <vt:i4>5</vt:i4>
      </vt:variant>
      <vt:variant>
        <vt:lpwstr/>
      </vt:variant>
      <vt:variant>
        <vt:lpwstr>_Toc353032067</vt:lpwstr>
      </vt:variant>
      <vt:variant>
        <vt:i4>1441843</vt:i4>
      </vt:variant>
      <vt:variant>
        <vt:i4>174</vt:i4>
      </vt:variant>
      <vt:variant>
        <vt:i4>0</vt:i4>
      </vt:variant>
      <vt:variant>
        <vt:i4>5</vt:i4>
      </vt:variant>
      <vt:variant>
        <vt:lpwstr/>
      </vt:variant>
      <vt:variant>
        <vt:lpwstr>_Toc353032066</vt:lpwstr>
      </vt:variant>
      <vt:variant>
        <vt:i4>1441843</vt:i4>
      </vt:variant>
      <vt:variant>
        <vt:i4>168</vt:i4>
      </vt:variant>
      <vt:variant>
        <vt:i4>0</vt:i4>
      </vt:variant>
      <vt:variant>
        <vt:i4>5</vt:i4>
      </vt:variant>
      <vt:variant>
        <vt:lpwstr/>
      </vt:variant>
      <vt:variant>
        <vt:lpwstr>_Toc353032065</vt:lpwstr>
      </vt:variant>
      <vt:variant>
        <vt:i4>1441843</vt:i4>
      </vt:variant>
      <vt:variant>
        <vt:i4>162</vt:i4>
      </vt:variant>
      <vt:variant>
        <vt:i4>0</vt:i4>
      </vt:variant>
      <vt:variant>
        <vt:i4>5</vt:i4>
      </vt:variant>
      <vt:variant>
        <vt:lpwstr/>
      </vt:variant>
      <vt:variant>
        <vt:lpwstr>_Toc353032064</vt:lpwstr>
      </vt:variant>
      <vt:variant>
        <vt:i4>1441843</vt:i4>
      </vt:variant>
      <vt:variant>
        <vt:i4>156</vt:i4>
      </vt:variant>
      <vt:variant>
        <vt:i4>0</vt:i4>
      </vt:variant>
      <vt:variant>
        <vt:i4>5</vt:i4>
      </vt:variant>
      <vt:variant>
        <vt:lpwstr/>
      </vt:variant>
      <vt:variant>
        <vt:lpwstr>_Toc353032063</vt:lpwstr>
      </vt:variant>
      <vt:variant>
        <vt:i4>1441843</vt:i4>
      </vt:variant>
      <vt:variant>
        <vt:i4>150</vt:i4>
      </vt:variant>
      <vt:variant>
        <vt:i4>0</vt:i4>
      </vt:variant>
      <vt:variant>
        <vt:i4>5</vt:i4>
      </vt:variant>
      <vt:variant>
        <vt:lpwstr/>
      </vt:variant>
      <vt:variant>
        <vt:lpwstr>_Toc353032062</vt:lpwstr>
      </vt:variant>
      <vt:variant>
        <vt:i4>1441843</vt:i4>
      </vt:variant>
      <vt:variant>
        <vt:i4>144</vt:i4>
      </vt:variant>
      <vt:variant>
        <vt:i4>0</vt:i4>
      </vt:variant>
      <vt:variant>
        <vt:i4>5</vt:i4>
      </vt:variant>
      <vt:variant>
        <vt:lpwstr/>
      </vt:variant>
      <vt:variant>
        <vt:lpwstr>_Toc353032061</vt:lpwstr>
      </vt:variant>
      <vt:variant>
        <vt:i4>1441843</vt:i4>
      </vt:variant>
      <vt:variant>
        <vt:i4>138</vt:i4>
      </vt:variant>
      <vt:variant>
        <vt:i4>0</vt:i4>
      </vt:variant>
      <vt:variant>
        <vt:i4>5</vt:i4>
      </vt:variant>
      <vt:variant>
        <vt:lpwstr/>
      </vt:variant>
      <vt:variant>
        <vt:lpwstr>_Toc353032060</vt:lpwstr>
      </vt:variant>
      <vt:variant>
        <vt:i4>1376307</vt:i4>
      </vt:variant>
      <vt:variant>
        <vt:i4>132</vt:i4>
      </vt:variant>
      <vt:variant>
        <vt:i4>0</vt:i4>
      </vt:variant>
      <vt:variant>
        <vt:i4>5</vt:i4>
      </vt:variant>
      <vt:variant>
        <vt:lpwstr/>
      </vt:variant>
      <vt:variant>
        <vt:lpwstr>_Toc353032059</vt:lpwstr>
      </vt:variant>
      <vt:variant>
        <vt:i4>1376307</vt:i4>
      </vt:variant>
      <vt:variant>
        <vt:i4>126</vt:i4>
      </vt:variant>
      <vt:variant>
        <vt:i4>0</vt:i4>
      </vt:variant>
      <vt:variant>
        <vt:i4>5</vt:i4>
      </vt:variant>
      <vt:variant>
        <vt:lpwstr/>
      </vt:variant>
      <vt:variant>
        <vt:lpwstr>_Toc353032058</vt:lpwstr>
      </vt:variant>
      <vt:variant>
        <vt:i4>1376307</vt:i4>
      </vt:variant>
      <vt:variant>
        <vt:i4>120</vt:i4>
      </vt:variant>
      <vt:variant>
        <vt:i4>0</vt:i4>
      </vt:variant>
      <vt:variant>
        <vt:i4>5</vt:i4>
      </vt:variant>
      <vt:variant>
        <vt:lpwstr/>
      </vt:variant>
      <vt:variant>
        <vt:lpwstr>_Toc353032057</vt:lpwstr>
      </vt:variant>
      <vt:variant>
        <vt:i4>1376307</vt:i4>
      </vt:variant>
      <vt:variant>
        <vt:i4>114</vt:i4>
      </vt:variant>
      <vt:variant>
        <vt:i4>0</vt:i4>
      </vt:variant>
      <vt:variant>
        <vt:i4>5</vt:i4>
      </vt:variant>
      <vt:variant>
        <vt:lpwstr/>
      </vt:variant>
      <vt:variant>
        <vt:lpwstr>_Toc353032056</vt:lpwstr>
      </vt:variant>
      <vt:variant>
        <vt:i4>1376307</vt:i4>
      </vt:variant>
      <vt:variant>
        <vt:i4>108</vt:i4>
      </vt:variant>
      <vt:variant>
        <vt:i4>0</vt:i4>
      </vt:variant>
      <vt:variant>
        <vt:i4>5</vt:i4>
      </vt:variant>
      <vt:variant>
        <vt:lpwstr/>
      </vt:variant>
      <vt:variant>
        <vt:lpwstr>_Toc353032055</vt:lpwstr>
      </vt:variant>
      <vt:variant>
        <vt:i4>1376307</vt:i4>
      </vt:variant>
      <vt:variant>
        <vt:i4>102</vt:i4>
      </vt:variant>
      <vt:variant>
        <vt:i4>0</vt:i4>
      </vt:variant>
      <vt:variant>
        <vt:i4>5</vt:i4>
      </vt:variant>
      <vt:variant>
        <vt:lpwstr/>
      </vt:variant>
      <vt:variant>
        <vt:lpwstr>_Toc353032054</vt:lpwstr>
      </vt:variant>
      <vt:variant>
        <vt:i4>1376307</vt:i4>
      </vt:variant>
      <vt:variant>
        <vt:i4>96</vt:i4>
      </vt:variant>
      <vt:variant>
        <vt:i4>0</vt:i4>
      </vt:variant>
      <vt:variant>
        <vt:i4>5</vt:i4>
      </vt:variant>
      <vt:variant>
        <vt:lpwstr/>
      </vt:variant>
      <vt:variant>
        <vt:lpwstr>_Toc353032053</vt:lpwstr>
      </vt:variant>
      <vt:variant>
        <vt:i4>1376307</vt:i4>
      </vt:variant>
      <vt:variant>
        <vt:i4>90</vt:i4>
      </vt:variant>
      <vt:variant>
        <vt:i4>0</vt:i4>
      </vt:variant>
      <vt:variant>
        <vt:i4>5</vt:i4>
      </vt:variant>
      <vt:variant>
        <vt:lpwstr/>
      </vt:variant>
      <vt:variant>
        <vt:lpwstr>_Toc353032052</vt:lpwstr>
      </vt:variant>
      <vt:variant>
        <vt:i4>1376307</vt:i4>
      </vt:variant>
      <vt:variant>
        <vt:i4>84</vt:i4>
      </vt:variant>
      <vt:variant>
        <vt:i4>0</vt:i4>
      </vt:variant>
      <vt:variant>
        <vt:i4>5</vt:i4>
      </vt:variant>
      <vt:variant>
        <vt:lpwstr/>
      </vt:variant>
      <vt:variant>
        <vt:lpwstr>_Toc353032051</vt:lpwstr>
      </vt:variant>
      <vt:variant>
        <vt:i4>1376307</vt:i4>
      </vt:variant>
      <vt:variant>
        <vt:i4>78</vt:i4>
      </vt:variant>
      <vt:variant>
        <vt:i4>0</vt:i4>
      </vt:variant>
      <vt:variant>
        <vt:i4>5</vt:i4>
      </vt:variant>
      <vt:variant>
        <vt:lpwstr/>
      </vt:variant>
      <vt:variant>
        <vt:lpwstr>_Toc353032050</vt:lpwstr>
      </vt:variant>
      <vt:variant>
        <vt:i4>1310771</vt:i4>
      </vt:variant>
      <vt:variant>
        <vt:i4>72</vt:i4>
      </vt:variant>
      <vt:variant>
        <vt:i4>0</vt:i4>
      </vt:variant>
      <vt:variant>
        <vt:i4>5</vt:i4>
      </vt:variant>
      <vt:variant>
        <vt:lpwstr/>
      </vt:variant>
      <vt:variant>
        <vt:lpwstr>_Toc353032049</vt:lpwstr>
      </vt:variant>
      <vt:variant>
        <vt:i4>1310771</vt:i4>
      </vt:variant>
      <vt:variant>
        <vt:i4>66</vt:i4>
      </vt:variant>
      <vt:variant>
        <vt:i4>0</vt:i4>
      </vt:variant>
      <vt:variant>
        <vt:i4>5</vt:i4>
      </vt:variant>
      <vt:variant>
        <vt:lpwstr/>
      </vt:variant>
      <vt:variant>
        <vt:lpwstr>_Toc353032048</vt:lpwstr>
      </vt:variant>
      <vt:variant>
        <vt:i4>1310771</vt:i4>
      </vt:variant>
      <vt:variant>
        <vt:i4>60</vt:i4>
      </vt:variant>
      <vt:variant>
        <vt:i4>0</vt:i4>
      </vt:variant>
      <vt:variant>
        <vt:i4>5</vt:i4>
      </vt:variant>
      <vt:variant>
        <vt:lpwstr/>
      </vt:variant>
      <vt:variant>
        <vt:lpwstr>_Toc353032047</vt:lpwstr>
      </vt:variant>
      <vt:variant>
        <vt:i4>1310771</vt:i4>
      </vt:variant>
      <vt:variant>
        <vt:i4>54</vt:i4>
      </vt:variant>
      <vt:variant>
        <vt:i4>0</vt:i4>
      </vt:variant>
      <vt:variant>
        <vt:i4>5</vt:i4>
      </vt:variant>
      <vt:variant>
        <vt:lpwstr/>
      </vt:variant>
      <vt:variant>
        <vt:lpwstr>_Toc353032046</vt:lpwstr>
      </vt:variant>
      <vt:variant>
        <vt:i4>1310771</vt:i4>
      </vt:variant>
      <vt:variant>
        <vt:i4>48</vt:i4>
      </vt:variant>
      <vt:variant>
        <vt:i4>0</vt:i4>
      </vt:variant>
      <vt:variant>
        <vt:i4>5</vt:i4>
      </vt:variant>
      <vt:variant>
        <vt:lpwstr/>
      </vt:variant>
      <vt:variant>
        <vt:lpwstr>_Toc353032045</vt:lpwstr>
      </vt:variant>
      <vt:variant>
        <vt:i4>1310771</vt:i4>
      </vt:variant>
      <vt:variant>
        <vt:i4>42</vt:i4>
      </vt:variant>
      <vt:variant>
        <vt:i4>0</vt:i4>
      </vt:variant>
      <vt:variant>
        <vt:i4>5</vt:i4>
      </vt:variant>
      <vt:variant>
        <vt:lpwstr/>
      </vt:variant>
      <vt:variant>
        <vt:lpwstr>_Toc353032044</vt:lpwstr>
      </vt:variant>
      <vt:variant>
        <vt:i4>1310771</vt:i4>
      </vt:variant>
      <vt:variant>
        <vt:i4>36</vt:i4>
      </vt:variant>
      <vt:variant>
        <vt:i4>0</vt:i4>
      </vt:variant>
      <vt:variant>
        <vt:i4>5</vt:i4>
      </vt:variant>
      <vt:variant>
        <vt:lpwstr/>
      </vt:variant>
      <vt:variant>
        <vt:lpwstr>_Toc353032043</vt:lpwstr>
      </vt:variant>
      <vt:variant>
        <vt:i4>1310771</vt:i4>
      </vt:variant>
      <vt:variant>
        <vt:i4>30</vt:i4>
      </vt:variant>
      <vt:variant>
        <vt:i4>0</vt:i4>
      </vt:variant>
      <vt:variant>
        <vt:i4>5</vt:i4>
      </vt:variant>
      <vt:variant>
        <vt:lpwstr/>
      </vt:variant>
      <vt:variant>
        <vt:lpwstr>_Toc353032042</vt:lpwstr>
      </vt:variant>
      <vt:variant>
        <vt:i4>1310771</vt:i4>
      </vt:variant>
      <vt:variant>
        <vt:i4>24</vt:i4>
      </vt:variant>
      <vt:variant>
        <vt:i4>0</vt:i4>
      </vt:variant>
      <vt:variant>
        <vt:i4>5</vt:i4>
      </vt:variant>
      <vt:variant>
        <vt:lpwstr/>
      </vt:variant>
      <vt:variant>
        <vt:lpwstr>_Toc353032041</vt:lpwstr>
      </vt:variant>
      <vt:variant>
        <vt:i4>1310771</vt:i4>
      </vt:variant>
      <vt:variant>
        <vt:i4>18</vt:i4>
      </vt:variant>
      <vt:variant>
        <vt:i4>0</vt:i4>
      </vt:variant>
      <vt:variant>
        <vt:i4>5</vt:i4>
      </vt:variant>
      <vt:variant>
        <vt:lpwstr/>
      </vt:variant>
      <vt:variant>
        <vt:lpwstr>_Toc353032040</vt:lpwstr>
      </vt:variant>
      <vt:variant>
        <vt:i4>1245235</vt:i4>
      </vt:variant>
      <vt:variant>
        <vt:i4>12</vt:i4>
      </vt:variant>
      <vt:variant>
        <vt:i4>0</vt:i4>
      </vt:variant>
      <vt:variant>
        <vt:i4>5</vt:i4>
      </vt:variant>
      <vt:variant>
        <vt:lpwstr/>
      </vt:variant>
      <vt:variant>
        <vt:lpwstr>_Toc353032039</vt:lpwstr>
      </vt:variant>
      <vt:variant>
        <vt:i4>1245235</vt:i4>
      </vt:variant>
      <vt:variant>
        <vt:i4>6</vt:i4>
      </vt:variant>
      <vt:variant>
        <vt:i4>0</vt:i4>
      </vt:variant>
      <vt:variant>
        <vt:i4>5</vt:i4>
      </vt:variant>
      <vt:variant>
        <vt:lpwstr/>
      </vt:variant>
      <vt:variant>
        <vt:lpwstr>_Toc353032038</vt:lpwstr>
      </vt:variant>
      <vt:variant>
        <vt:i4>6291563</vt:i4>
      </vt:variant>
      <vt:variant>
        <vt:i4>72</vt:i4>
      </vt:variant>
      <vt:variant>
        <vt:i4>0</vt:i4>
      </vt:variant>
      <vt:variant>
        <vt:i4>5</vt:i4>
      </vt:variant>
      <vt:variant>
        <vt:lpwstr>http://www.westlaw.com/Find/Default.wl?rs=++++1.0&amp;vr=2.0&amp;DB=1000547&amp;DocName=47CFRS90.33&amp;FindType=L</vt:lpwstr>
      </vt:variant>
      <vt:variant>
        <vt:lpwstr/>
      </vt:variant>
      <vt:variant>
        <vt:i4>6422637</vt:i4>
      </vt:variant>
      <vt:variant>
        <vt:i4>69</vt:i4>
      </vt:variant>
      <vt:variant>
        <vt:i4>0</vt:i4>
      </vt:variant>
      <vt:variant>
        <vt:i4>5</vt:i4>
      </vt:variant>
      <vt:variant>
        <vt:lpwstr>http://www.westlaw.com/Find/Default.wl?rs=++++1.0&amp;vr=2.0&amp;DB=1000547&amp;DocName=47CFRS90.15&amp;FindType=L</vt:lpwstr>
      </vt:variant>
      <vt:variant>
        <vt:lpwstr/>
      </vt:variant>
      <vt:variant>
        <vt:i4>8061012</vt:i4>
      </vt:variant>
      <vt:variant>
        <vt:i4>66</vt:i4>
      </vt:variant>
      <vt:variant>
        <vt:i4>0</vt:i4>
      </vt:variant>
      <vt:variant>
        <vt:i4>5</vt:i4>
      </vt:variant>
      <vt:variant>
        <vt:lpwstr>http://web2.westlaw.com/Find/Default.wl?DB=1000547&amp;DocName=47CFRS95%2E401&amp;FindType=L&amp;AP=&amp;RS=WLW2.86&amp;VR=2.0&amp;SV=Split&amp;MT=Westlaw&amp;FN=_top</vt:lpwstr>
      </vt:variant>
      <vt:variant>
        <vt:lpwstr/>
      </vt:variant>
      <vt:variant>
        <vt:i4>2162789</vt:i4>
      </vt:variant>
      <vt:variant>
        <vt:i4>63</vt:i4>
      </vt:variant>
      <vt:variant>
        <vt:i4>0</vt:i4>
      </vt:variant>
      <vt:variant>
        <vt:i4>5</vt:i4>
      </vt:variant>
      <vt:variant>
        <vt:lpwstr>http://www.census.gov/naics/2007/def/ND517110.HTM</vt:lpwstr>
      </vt:variant>
      <vt:variant>
        <vt:lpwstr>N517110</vt:lpwstr>
      </vt:variant>
      <vt:variant>
        <vt:i4>6422562</vt:i4>
      </vt:variant>
      <vt:variant>
        <vt:i4>60</vt:i4>
      </vt:variant>
      <vt:variant>
        <vt:i4>0</vt:i4>
      </vt:variant>
      <vt:variant>
        <vt:i4>5</vt:i4>
      </vt:variant>
      <vt:variant>
        <vt:lpwstr>http://transition.fcc.gov/Daily_Releases/Daily_Business/2012/db0106/DOC-311837A1.pdf</vt:lpwstr>
      </vt:variant>
      <vt:variant>
        <vt:lpwstr/>
      </vt:variant>
      <vt:variant>
        <vt:i4>2162791</vt:i4>
      </vt:variant>
      <vt:variant>
        <vt:i4>57</vt:i4>
      </vt:variant>
      <vt:variant>
        <vt:i4>0</vt:i4>
      </vt:variant>
      <vt:variant>
        <vt:i4>5</vt:i4>
      </vt:variant>
      <vt:variant>
        <vt:lpwstr>http://www.census.gov/naics/2007/def/ND515112.HTM</vt:lpwstr>
      </vt:variant>
      <vt:variant>
        <vt:lpwstr>N515112</vt:lpwstr>
      </vt:variant>
      <vt:variant>
        <vt:i4>6422562</vt:i4>
      </vt:variant>
      <vt:variant>
        <vt:i4>54</vt:i4>
      </vt:variant>
      <vt:variant>
        <vt:i4>0</vt:i4>
      </vt:variant>
      <vt:variant>
        <vt:i4>5</vt:i4>
      </vt:variant>
      <vt:variant>
        <vt:lpwstr>http://transition.fcc.gov/Daily_Releases/Daily_Business/2012/db0106/DOC-311837A1.pdf</vt:lpwstr>
      </vt:variant>
      <vt:variant>
        <vt:lpwstr/>
      </vt:variant>
      <vt:variant>
        <vt:i4>6422562</vt:i4>
      </vt:variant>
      <vt:variant>
        <vt:i4>51</vt:i4>
      </vt:variant>
      <vt:variant>
        <vt:i4>0</vt:i4>
      </vt:variant>
      <vt:variant>
        <vt:i4>5</vt:i4>
      </vt:variant>
      <vt:variant>
        <vt:lpwstr>http://transition.fcc.gov/Daily_Releases/Daily_Business/2012/db0106/DOC-311837A1.pdf</vt:lpwstr>
      </vt:variant>
      <vt:variant>
        <vt:lpwstr/>
      </vt:variant>
      <vt:variant>
        <vt:i4>6422562</vt:i4>
      </vt:variant>
      <vt:variant>
        <vt:i4>48</vt:i4>
      </vt:variant>
      <vt:variant>
        <vt:i4>0</vt:i4>
      </vt:variant>
      <vt:variant>
        <vt:i4>5</vt:i4>
      </vt:variant>
      <vt:variant>
        <vt:lpwstr>http://transition.fcc.gov/Daily_Releases/Daily_Business/2012/db0106/DOC-311837A1.pdf</vt:lpwstr>
      </vt:variant>
      <vt:variant>
        <vt:lpwstr/>
      </vt:variant>
      <vt:variant>
        <vt:i4>2162789</vt:i4>
      </vt:variant>
      <vt:variant>
        <vt:i4>45</vt:i4>
      </vt:variant>
      <vt:variant>
        <vt:i4>0</vt:i4>
      </vt:variant>
      <vt:variant>
        <vt:i4>5</vt:i4>
      </vt:variant>
      <vt:variant>
        <vt:lpwstr>http://www.census.gov/naics/2007/def/ND515120.HTM</vt:lpwstr>
      </vt:variant>
      <vt:variant>
        <vt:lpwstr>N515120</vt:lpwstr>
      </vt:variant>
      <vt:variant>
        <vt:i4>7471129</vt:i4>
      </vt:variant>
      <vt:variant>
        <vt:i4>42</vt:i4>
      </vt:variant>
      <vt:variant>
        <vt:i4>0</vt:i4>
      </vt:variant>
      <vt:variant>
        <vt:i4>5</vt:i4>
      </vt:variant>
      <vt:variant>
        <vt:lpwstr>https://web2.westlaw.com/find/default.wl?mt=122&amp;db=4493&amp;tc=-1&amp;rp=%2ffind%2fdefault.wl&amp;findtype=Y&amp;ordoc=2027888090&amp;serialnum=1997260934&amp;vr=2.0&amp;fn=_top&amp;sv=Split&amp;tf=-1&amp;referencepositiontype=S&amp;pbc=F7F00C7D&amp;referenceposition=12689&amp;rs=WLW12.04</vt:lpwstr>
      </vt:variant>
      <vt:variant>
        <vt:lpwstr/>
      </vt:variant>
      <vt:variant>
        <vt:i4>6029363</vt:i4>
      </vt:variant>
      <vt:variant>
        <vt:i4>39</vt:i4>
      </vt:variant>
      <vt:variant>
        <vt:i4>0</vt:i4>
      </vt:variant>
      <vt:variant>
        <vt:i4>5</vt:i4>
      </vt:variant>
      <vt:variant>
        <vt:lpwstr>https://web2.westlaw.com/find/default.wl?mt=122&amp;db=0004493&amp;tc=-1&amp;rp=%2ffind%2fdefault.wl&amp;findtype=Y&amp;ordoc=2027888090&amp;serialnum=1997260934&amp;vr=2.0&amp;fn=_top&amp;sv=Split&amp;tf=-1&amp;referencepositiontype=S&amp;pbc=F7F00C7D&amp;referenceposition=12689&amp;rs=WLW12.04</vt:lpwstr>
      </vt:variant>
      <vt:variant>
        <vt:lpwstr/>
      </vt:variant>
      <vt:variant>
        <vt:i4>2883710</vt:i4>
      </vt:variant>
      <vt:variant>
        <vt:i4>36</vt:i4>
      </vt:variant>
      <vt:variant>
        <vt:i4>0</vt:i4>
      </vt:variant>
      <vt:variant>
        <vt:i4>5</vt:i4>
      </vt:variant>
      <vt:variant>
        <vt:lpwstr>http://factfinder.census.gov/servlet/IBQTable?_bm=y&amp;-fds_name=EC0700A1&amp;-geo_id=&amp;-_skip=600&amp;-ds_name=EC0751SSSZ5&amp;-_lang=en</vt:lpwstr>
      </vt:variant>
      <vt:variant>
        <vt:lpwstr/>
      </vt:variant>
      <vt:variant>
        <vt:i4>2162789</vt:i4>
      </vt:variant>
      <vt:variant>
        <vt:i4>33</vt:i4>
      </vt:variant>
      <vt:variant>
        <vt:i4>0</vt:i4>
      </vt:variant>
      <vt:variant>
        <vt:i4>5</vt:i4>
      </vt:variant>
      <vt:variant>
        <vt:lpwstr>http://www.census.gov/naics/2007/def/ND517210.HTM</vt:lpwstr>
      </vt:variant>
      <vt:variant>
        <vt:lpwstr>N517210</vt:lpwstr>
      </vt:variant>
      <vt:variant>
        <vt:i4>2883710</vt:i4>
      </vt:variant>
      <vt:variant>
        <vt:i4>30</vt:i4>
      </vt:variant>
      <vt:variant>
        <vt:i4>0</vt:i4>
      </vt:variant>
      <vt:variant>
        <vt:i4>5</vt:i4>
      </vt:variant>
      <vt:variant>
        <vt:lpwstr>http://factfinder.census.gov/servlet/IBQTable?_bm=y&amp;-fds_name=EC0700A1&amp;-geo_id=&amp;-_skip=600&amp;-ds_name=EC0751SSSZ5&amp;-_lang=en</vt:lpwstr>
      </vt:variant>
      <vt:variant>
        <vt:lpwstr/>
      </vt:variant>
      <vt:variant>
        <vt:i4>6619263</vt:i4>
      </vt:variant>
      <vt:variant>
        <vt:i4>27</vt:i4>
      </vt:variant>
      <vt:variant>
        <vt:i4>0</vt:i4>
      </vt:variant>
      <vt:variant>
        <vt:i4>5</vt:i4>
      </vt:variant>
      <vt:variant>
        <vt:lpwstr>http://www.census.gov/cgi-bin/sssd/naics/naicsrch?code=517210&amp;search=2007%20NAICS%20Search</vt:lpwstr>
      </vt:variant>
      <vt:variant>
        <vt:lpwstr/>
      </vt:variant>
      <vt:variant>
        <vt:i4>2883710</vt:i4>
      </vt:variant>
      <vt:variant>
        <vt:i4>24</vt:i4>
      </vt:variant>
      <vt:variant>
        <vt:i4>0</vt:i4>
      </vt:variant>
      <vt:variant>
        <vt:i4>5</vt:i4>
      </vt:variant>
      <vt:variant>
        <vt:lpwstr>http://factfinder.census.gov/servlet/IBQTable?_bm=y&amp;-fds_name=EC0700A1&amp;-geo_id=&amp;-_skip=600&amp;-ds_name=EC0751SSSZ5&amp;-_lang=en</vt:lpwstr>
      </vt:variant>
      <vt:variant>
        <vt:lpwstr/>
      </vt:variant>
      <vt:variant>
        <vt:i4>2752559</vt:i4>
      </vt:variant>
      <vt:variant>
        <vt:i4>21</vt:i4>
      </vt:variant>
      <vt:variant>
        <vt:i4>0</vt:i4>
      </vt:variant>
      <vt:variant>
        <vt:i4>5</vt:i4>
      </vt:variant>
      <vt:variant>
        <vt:lpwstr>http://web.sba.gov/faqs</vt:lpwstr>
      </vt:variant>
      <vt:variant>
        <vt:lpwstr/>
      </vt:variant>
      <vt:variant>
        <vt:i4>6815776</vt:i4>
      </vt:variant>
      <vt:variant>
        <vt:i4>18</vt:i4>
      </vt:variant>
      <vt:variant>
        <vt:i4>0</vt:i4>
      </vt:variant>
      <vt:variant>
        <vt:i4>5</vt:i4>
      </vt:variant>
      <vt:variant>
        <vt:lpwstr>http://www.whitehouse.gov/the-press-office/2011/06/13/executive-order-13576-delivering-efficient-effective-and-accountable-gov</vt:lpwstr>
      </vt:variant>
      <vt:variant>
        <vt:lpwstr/>
      </vt:variant>
      <vt:variant>
        <vt:i4>1441874</vt:i4>
      </vt:variant>
      <vt:variant>
        <vt:i4>15</vt:i4>
      </vt:variant>
      <vt:variant>
        <vt:i4>0</vt:i4>
      </vt:variant>
      <vt:variant>
        <vt:i4>5</vt:i4>
      </vt:variant>
      <vt:variant>
        <vt:lpwstr>http://pewinternet.org/Reports/2012/Smartphone-Update-2012/Findings.aspx</vt:lpwstr>
      </vt:variant>
      <vt:variant>
        <vt:lpwstr/>
      </vt:variant>
      <vt:variant>
        <vt:i4>2752560</vt:i4>
      </vt:variant>
      <vt:variant>
        <vt:i4>12</vt:i4>
      </vt:variant>
      <vt:variant>
        <vt:i4>0</vt:i4>
      </vt:variant>
      <vt:variant>
        <vt:i4>5</vt:i4>
      </vt:variant>
      <vt:variant>
        <vt:lpwstr>http://www.ntia.doc.gov/report/2011/exploring-digital-nation-computer-and-internet-use-home</vt:lpwstr>
      </vt:variant>
      <vt:variant>
        <vt:lpwstr/>
      </vt:variant>
      <vt:variant>
        <vt:i4>6029312</vt:i4>
      </vt:variant>
      <vt:variant>
        <vt:i4>9</vt:i4>
      </vt:variant>
      <vt:variant>
        <vt:i4>0</vt:i4>
      </vt:variant>
      <vt:variant>
        <vt:i4>5</vt:i4>
      </vt:variant>
      <vt:variant>
        <vt:lpwstr>http://www22.verizon.com/?lid=//global//residential.</vt:lpwstr>
      </vt:variant>
      <vt:variant>
        <vt:lpwstr/>
      </vt:variant>
      <vt:variant>
        <vt:i4>786518</vt:i4>
      </vt:variant>
      <vt:variant>
        <vt:i4>6</vt:i4>
      </vt:variant>
      <vt:variant>
        <vt:i4>0</vt:i4>
      </vt:variant>
      <vt:variant>
        <vt:i4>5</vt:i4>
      </vt:variant>
      <vt:variant>
        <vt:lpwstr>http://www.comcast.com/Corporate/Learn/Bundles/bundles.html.</vt:lpwstr>
      </vt:variant>
      <vt:variant>
        <vt:lpwstr/>
      </vt:variant>
      <vt:variant>
        <vt:i4>1441874</vt:i4>
      </vt:variant>
      <vt:variant>
        <vt:i4>3</vt:i4>
      </vt:variant>
      <vt:variant>
        <vt:i4>0</vt:i4>
      </vt:variant>
      <vt:variant>
        <vt:i4>5</vt:i4>
      </vt:variant>
      <vt:variant>
        <vt:lpwstr>http://pewinternet.org/Reports/2012/Smartphone-Update-2012/Findings.aspx</vt:lpwstr>
      </vt:variant>
      <vt:variant>
        <vt:lpwstr/>
      </vt:variant>
      <vt:variant>
        <vt:i4>2752560</vt:i4>
      </vt:variant>
      <vt:variant>
        <vt:i4>0</vt:i4>
      </vt:variant>
      <vt:variant>
        <vt:i4>0</vt:i4>
      </vt:variant>
      <vt:variant>
        <vt:i4>5</vt:i4>
      </vt:variant>
      <vt:variant>
        <vt:lpwstr>http://www.ntia.doc.gov/report/2011/exploring-digital-nation-computer-and-internet-use-home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2014-08-29T15:36:00Z</cp:lastPrinted>
  <dcterms:created xsi:type="dcterms:W3CDTF">2014-09-03T20:13:00Z</dcterms:created>
  <dcterms:modified xsi:type="dcterms:W3CDTF">2014-09-03T20:13:00Z</dcterms:modified>
</cp:coreProperties>
</file>